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044D70" w:rsidRPr="004672F2" w:rsidTr="004167AD">
        <w:trPr>
          <w:trHeight w:val="300"/>
        </w:trPr>
        <w:tc>
          <w:tcPr>
            <w:tcW w:w="9781" w:type="dxa"/>
            <w:shd w:val="clear" w:color="000000" w:fill="D9D9D9" w:themeFill="background1" w:themeFillShade="D9"/>
            <w:vAlign w:val="bottom"/>
            <w:hideMark/>
          </w:tcPr>
          <w:p w:rsidR="00044D70" w:rsidRPr="004672F2" w:rsidRDefault="00044D70"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1 : Identification de la substance/du mélange et de la société/l'entreprise</w:t>
            </w:r>
          </w:p>
        </w:tc>
      </w:tr>
    </w:tbl>
    <w:p w:rsidR="00246C69" w:rsidRDefault="00246C69" w:rsidP="00331B6C">
      <w:pPr>
        <w:spacing w:after="0"/>
        <w:jc w:val="both"/>
      </w:pPr>
    </w:p>
    <w:p w:rsidR="00044D70" w:rsidRPr="00044D70" w:rsidRDefault="00044D70" w:rsidP="00331B6C">
      <w:pPr>
        <w:pStyle w:val="Paragraphedeliste"/>
        <w:numPr>
          <w:ilvl w:val="1"/>
          <w:numId w:val="1"/>
        </w:numPr>
        <w:spacing w:after="0"/>
        <w:jc w:val="both"/>
        <w:rPr>
          <w:b/>
        </w:rPr>
      </w:pPr>
      <w:r w:rsidRPr="004672F2">
        <w:rPr>
          <w:rFonts w:ascii="Calibri" w:eastAsia="Times New Roman" w:hAnsi="Calibri" w:cs="Times New Roman"/>
          <w:b/>
          <w:bCs/>
          <w:color w:val="000000"/>
          <w:lang w:eastAsia="fr-FR"/>
        </w:rPr>
        <w:t>Identificateur de produit</w:t>
      </w:r>
    </w:p>
    <w:p w:rsidR="004167AD" w:rsidRDefault="00044D70"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color w:val="000000"/>
          <w:lang w:eastAsia="fr-FR"/>
        </w:rPr>
        <w:t>Nom du produit :</w:t>
      </w:r>
      <w:r w:rsidR="00164D4E">
        <w:rPr>
          <w:rFonts w:ascii="Calibri" w:eastAsia="Times New Roman" w:hAnsi="Calibri" w:cs="Times New Roman"/>
          <w:color w:val="000000"/>
          <w:lang w:eastAsia="fr-FR"/>
        </w:rPr>
        <w:t> </w:t>
      </w:r>
      <w:proofErr w:type="spellStart"/>
      <w:r w:rsidR="00126984">
        <w:rPr>
          <w:rFonts w:ascii="Calibri" w:eastAsia="Times New Roman" w:hAnsi="Calibri" w:cs="Times New Roman"/>
          <w:color w:val="000000"/>
          <w:lang w:eastAsia="fr-FR"/>
        </w:rPr>
        <w:t>Multiphos</w:t>
      </w:r>
      <w:proofErr w:type="spellEnd"/>
      <w:r w:rsidR="00126984">
        <w:rPr>
          <w:rFonts w:ascii="Calibri" w:eastAsia="Times New Roman" w:hAnsi="Calibri" w:cs="Times New Roman"/>
          <w:color w:val="000000"/>
          <w:lang w:eastAsia="fr-FR"/>
        </w:rPr>
        <w:t xml:space="preserve"> 0-25-0</w:t>
      </w:r>
    </w:p>
    <w:p w:rsidR="00044D70" w:rsidRDefault="00044D70" w:rsidP="00331B6C">
      <w:pPr>
        <w:spacing w:after="0"/>
        <w:jc w:val="both"/>
        <w:rPr>
          <w:rFonts w:ascii="Calibri" w:eastAsia="Times New Roman" w:hAnsi="Calibri" w:cs="Times New Roman"/>
          <w:color w:val="000000"/>
          <w:lang w:eastAsia="fr-FR"/>
        </w:rPr>
      </w:pPr>
    </w:p>
    <w:p w:rsidR="00044D70" w:rsidRPr="00044D70" w:rsidRDefault="00044D70" w:rsidP="00331B6C">
      <w:pPr>
        <w:pStyle w:val="Paragraphedeliste"/>
        <w:numPr>
          <w:ilvl w:val="1"/>
          <w:numId w:val="1"/>
        </w:numPr>
        <w:spacing w:after="0"/>
        <w:jc w:val="both"/>
        <w:rPr>
          <w:rFonts w:ascii="Calibri" w:eastAsia="Times New Roman" w:hAnsi="Calibri" w:cs="Times New Roman"/>
          <w:b/>
          <w:bCs/>
          <w:color w:val="000000"/>
          <w:lang w:eastAsia="fr-FR"/>
        </w:rPr>
      </w:pPr>
      <w:r w:rsidRPr="00044D70">
        <w:rPr>
          <w:rFonts w:ascii="Calibri" w:eastAsia="Times New Roman" w:hAnsi="Calibri" w:cs="Times New Roman"/>
          <w:b/>
          <w:bCs/>
          <w:color w:val="000000"/>
          <w:lang w:eastAsia="fr-FR"/>
        </w:rPr>
        <w:t>Utilisations identifiées pertinentes de la substance ou du mélange et utilisations déconseillées</w:t>
      </w:r>
    </w:p>
    <w:p w:rsidR="00044D70" w:rsidRDefault="00126984" w:rsidP="00331B6C">
      <w:pPr>
        <w:spacing w:after="0"/>
        <w:jc w:val="both"/>
      </w:pPr>
      <w:r w:rsidRPr="00126984">
        <w:t>Engrais minéral composé</w:t>
      </w:r>
      <w:r>
        <w:t>.</w:t>
      </w:r>
    </w:p>
    <w:p w:rsidR="00126984" w:rsidRDefault="00126984" w:rsidP="00331B6C">
      <w:pPr>
        <w:spacing w:after="0"/>
        <w:jc w:val="both"/>
      </w:pPr>
    </w:p>
    <w:p w:rsidR="00D219B6" w:rsidRDefault="00D219B6" w:rsidP="00331B6C">
      <w:pPr>
        <w:spacing w:after="0"/>
        <w:jc w:val="both"/>
      </w:pPr>
      <w:r w:rsidRPr="004672F2">
        <w:rPr>
          <w:rFonts w:ascii="Calibri" w:eastAsia="Times New Roman" w:hAnsi="Calibri" w:cs="Times New Roman"/>
          <w:b/>
          <w:bCs/>
          <w:color w:val="000000"/>
          <w:lang w:eastAsia="fr-FR"/>
        </w:rPr>
        <w:t>1.3. Renseignements concernant le fournisseur de la fiche de données de sécurité</w:t>
      </w:r>
    </w:p>
    <w:p w:rsidR="004167AD" w:rsidRDefault="003D106B" w:rsidP="00331B6C">
      <w:pPr>
        <w:spacing w:after="0"/>
        <w:jc w:val="both"/>
        <w:rPr>
          <w:rFonts w:ascii="Calibri" w:eastAsia="Times New Roman" w:hAnsi="Calibri" w:cs="Times New Roman"/>
          <w:color w:val="000000"/>
          <w:lang w:eastAsia="fr-FR"/>
        </w:rPr>
      </w:pPr>
      <w:r>
        <w:rPr>
          <w:rFonts w:ascii="Calibri" w:eastAsia="Times New Roman" w:hAnsi="Calibri" w:cs="Times New Roman"/>
          <w:color w:val="000000"/>
          <w:lang w:eastAsia="fr-FR"/>
        </w:rPr>
        <w:t>2F Ouest</w:t>
      </w:r>
    </w:p>
    <w:p w:rsidR="004167AD" w:rsidRDefault="003D106B" w:rsidP="00331B6C">
      <w:pPr>
        <w:spacing w:after="0"/>
        <w:jc w:val="both"/>
        <w:rPr>
          <w:rFonts w:ascii="Calibri" w:eastAsia="Times New Roman" w:hAnsi="Calibri" w:cs="Times New Roman"/>
          <w:color w:val="000000"/>
          <w:lang w:eastAsia="fr-FR"/>
        </w:rPr>
      </w:pPr>
      <w:r>
        <w:rPr>
          <w:rFonts w:ascii="Calibri" w:eastAsia="Times New Roman" w:hAnsi="Calibri" w:cs="Times New Roman"/>
          <w:color w:val="000000"/>
          <w:lang w:eastAsia="fr-FR"/>
        </w:rPr>
        <w:t>ZI La Hautière – BP12</w:t>
      </w:r>
    </w:p>
    <w:p w:rsidR="004167AD" w:rsidRDefault="003D106B" w:rsidP="00331B6C">
      <w:pPr>
        <w:spacing w:after="0"/>
        <w:jc w:val="both"/>
        <w:rPr>
          <w:rFonts w:ascii="Calibri" w:eastAsia="Times New Roman" w:hAnsi="Calibri" w:cs="Times New Roman"/>
          <w:color w:val="000000"/>
          <w:lang w:eastAsia="fr-FR"/>
        </w:rPr>
      </w:pPr>
      <w:r>
        <w:rPr>
          <w:rFonts w:ascii="Calibri" w:eastAsia="Times New Roman" w:hAnsi="Calibri" w:cs="Times New Roman"/>
          <w:color w:val="000000"/>
          <w:lang w:eastAsia="fr-FR"/>
        </w:rPr>
        <w:t>35590 L’Hermitage</w:t>
      </w:r>
    </w:p>
    <w:p w:rsidR="004167AD" w:rsidRDefault="00D219B6"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color w:val="000000"/>
          <w:lang w:eastAsia="fr-FR"/>
        </w:rPr>
        <w:t xml:space="preserve">Tél : </w:t>
      </w:r>
      <w:r w:rsidR="003D106B">
        <w:rPr>
          <w:rFonts w:ascii="Calibri" w:eastAsia="Times New Roman" w:hAnsi="Calibri" w:cs="Times New Roman"/>
          <w:color w:val="000000"/>
          <w:lang w:eastAsia="fr-FR"/>
        </w:rPr>
        <w:t>02 99 644 644</w:t>
      </w:r>
    </w:p>
    <w:p w:rsidR="00D219B6" w:rsidRDefault="00D219B6" w:rsidP="00331B6C">
      <w:pPr>
        <w:spacing w:after="0"/>
        <w:jc w:val="both"/>
      </w:pPr>
      <w:r w:rsidRPr="004672F2">
        <w:rPr>
          <w:rFonts w:ascii="Calibri" w:eastAsia="Times New Roman" w:hAnsi="Calibri" w:cs="Times New Roman"/>
          <w:color w:val="000000"/>
          <w:lang w:eastAsia="fr-FR"/>
        </w:rPr>
        <w:t xml:space="preserve">Courriel : </w:t>
      </w:r>
      <w:hyperlink r:id="rId7" w:history="1">
        <w:r w:rsidR="00FC5797" w:rsidRPr="00CC14C7">
          <w:rPr>
            <w:rStyle w:val="Lienhypertexte"/>
            <w:rFonts w:ascii="Calibri" w:eastAsia="Times New Roman" w:hAnsi="Calibri" w:cs="Times New Roman"/>
            <w:lang w:eastAsia="fr-FR"/>
          </w:rPr>
          <w:t>alain.deschamps@2f-ouest.fr</w:t>
        </w:r>
      </w:hyperlink>
    </w:p>
    <w:p w:rsidR="00D219B6" w:rsidRDefault="00D219B6" w:rsidP="00331B6C">
      <w:pPr>
        <w:spacing w:after="0"/>
        <w:jc w:val="both"/>
      </w:pPr>
    </w:p>
    <w:p w:rsidR="00D219B6" w:rsidRPr="00D219B6" w:rsidRDefault="00D219B6" w:rsidP="00331B6C">
      <w:pPr>
        <w:pStyle w:val="Paragraphedeliste"/>
        <w:numPr>
          <w:ilvl w:val="1"/>
          <w:numId w:val="2"/>
        </w:numPr>
        <w:spacing w:after="0"/>
        <w:jc w:val="both"/>
        <w:rPr>
          <w:rFonts w:ascii="Calibri" w:eastAsia="Times New Roman" w:hAnsi="Calibri" w:cs="Times New Roman"/>
          <w:b/>
          <w:bCs/>
          <w:color w:val="000000"/>
          <w:lang w:eastAsia="fr-FR"/>
        </w:rPr>
      </w:pPr>
      <w:r w:rsidRPr="00D219B6">
        <w:rPr>
          <w:rFonts w:ascii="Calibri" w:eastAsia="Times New Roman" w:hAnsi="Calibri" w:cs="Times New Roman"/>
          <w:b/>
          <w:bCs/>
          <w:color w:val="000000"/>
          <w:lang w:eastAsia="fr-FR"/>
        </w:rPr>
        <w:t>Numéro d'appel d'urgence</w:t>
      </w:r>
    </w:p>
    <w:p w:rsidR="004167AD" w:rsidRDefault="00D219B6"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color w:val="000000"/>
          <w:lang w:eastAsia="fr-FR"/>
        </w:rPr>
        <w:t>Numéro ORFILA (INRS) : 01 45 42 59 59 (centres antipoison français).</w:t>
      </w:r>
    </w:p>
    <w:p w:rsidR="00D219B6" w:rsidRDefault="00D219B6"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color w:val="000000"/>
          <w:lang w:eastAsia="fr-FR"/>
        </w:rPr>
        <w:t xml:space="preserve">Centre </w:t>
      </w:r>
      <w:proofErr w:type="spellStart"/>
      <w:r w:rsidRPr="004672F2">
        <w:rPr>
          <w:rFonts w:ascii="Calibri" w:eastAsia="Times New Roman" w:hAnsi="Calibri" w:cs="Times New Roman"/>
          <w:color w:val="000000"/>
          <w:lang w:eastAsia="fr-FR"/>
        </w:rPr>
        <w:t>anti-poison</w:t>
      </w:r>
      <w:proofErr w:type="spellEnd"/>
      <w:r w:rsidRPr="004672F2">
        <w:rPr>
          <w:rFonts w:ascii="Calibri" w:eastAsia="Times New Roman" w:hAnsi="Calibri" w:cs="Times New Roman"/>
          <w:color w:val="000000"/>
          <w:lang w:eastAsia="fr-FR"/>
        </w:rPr>
        <w:t xml:space="preserve"> (24h/24 - 7j/7) de Rennes : 02 99 59 22 22 - de Bordeaux : 05 56 96 40 80.</w:t>
      </w:r>
    </w:p>
    <w:p w:rsidR="00D219B6" w:rsidRDefault="00D219B6" w:rsidP="00331B6C">
      <w:pPr>
        <w:spacing w:after="0"/>
        <w:jc w:val="both"/>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D219B6" w:rsidRPr="004672F2" w:rsidTr="004167AD">
        <w:trPr>
          <w:trHeight w:val="300"/>
        </w:trPr>
        <w:tc>
          <w:tcPr>
            <w:tcW w:w="9781" w:type="dxa"/>
            <w:shd w:val="clear" w:color="000000" w:fill="D9D9D9" w:themeFill="background1" w:themeFillShade="D9"/>
            <w:vAlign w:val="bottom"/>
            <w:hideMark/>
          </w:tcPr>
          <w:p w:rsidR="00D219B6" w:rsidRPr="004672F2" w:rsidRDefault="00D219B6"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 xml:space="preserve">SECTION 2 : Identification des dangers </w:t>
            </w:r>
          </w:p>
        </w:tc>
      </w:tr>
    </w:tbl>
    <w:p w:rsidR="00D219B6" w:rsidRDefault="00D219B6" w:rsidP="00331B6C">
      <w:pPr>
        <w:spacing w:after="0"/>
        <w:jc w:val="both"/>
      </w:pPr>
    </w:p>
    <w:p w:rsidR="00D219B6" w:rsidRDefault="00D219B6" w:rsidP="00331B6C">
      <w:pPr>
        <w:spacing w:after="0"/>
        <w:jc w:val="both"/>
      </w:pPr>
      <w:r w:rsidRPr="004672F2">
        <w:rPr>
          <w:rFonts w:ascii="Calibri" w:eastAsia="Times New Roman" w:hAnsi="Calibri" w:cs="Times New Roman"/>
          <w:b/>
          <w:bCs/>
          <w:color w:val="000000"/>
          <w:lang w:eastAsia="fr-FR"/>
        </w:rPr>
        <w:t>2.1. Classification de la substance ou du mélange</w:t>
      </w:r>
    </w:p>
    <w:p w:rsidR="00126984" w:rsidRPr="00126984" w:rsidRDefault="00126984" w:rsidP="00126984">
      <w:pPr>
        <w:spacing w:after="0"/>
        <w:jc w:val="both"/>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Conformément au règlement 1272/2008 [CLP]</w:t>
      </w:r>
    </w:p>
    <w:p w:rsidR="00FB464B" w:rsidRDefault="00126984" w:rsidP="00126984">
      <w:pPr>
        <w:spacing w:after="0"/>
        <w:jc w:val="both"/>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 xml:space="preserve">Les. Oc. </w:t>
      </w:r>
      <w:proofErr w:type="gramStart"/>
      <w:r w:rsidRPr="00126984">
        <w:rPr>
          <w:rFonts w:ascii="Calibri" w:eastAsia="Times New Roman" w:hAnsi="Calibri" w:cs="Times New Roman"/>
          <w:color w:val="000000"/>
          <w:lang w:eastAsia="fr-FR"/>
        </w:rPr>
        <w:t>1;</w:t>
      </w:r>
      <w:proofErr w:type="gramEnd"/>
      <w:r w:rsidRPr="00126984">
        <w:rPr>
          <w:rFonts w:ascii="Calibri" w:eastAsia="Times New Roman" w:hAnsi="Calibri" w:cs="Times New Roman"/>
          <w:color w:val="000000"/>
          <w:lang w:eastAsia="fr-FR"/>
        </w:rPr>
        <w:t xml:space="preserve"> H318</w:t>
      </w:r>
    </w:p>
    <w:p w:rsidR="00126984" w:rsidRDefault="00126984" w:rsidP="00126984">
      <w:pPr>
        <w:spacing w:after="0"/>
        <w:jc w:val="both"/>
        <w:rPr>
          <w:rFonts w:ascii="Calibri" w:eastAsia="Times New Roman" w:hAnsi="Calibri" w:cs="Times New Roman"/>
          <w:color w:val="000000"/>
          <w:lang w:eastAsia="fr-FR"/>
        </w:rPr>
      </w:pPr>
    </w:p>
    <w:p w:rsidR="00D219B6" w:rsidRDefault="004167AD"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2.2. Eléments d'étiquetage</w:t>
      </w:r>
    </w:p>
    <w:tbl>
      <w:tblPr>
        <w:tblW w:w="7792" w:type="dxa"/>
        <w:tblCellMar>
          <w:left w:w="70" w:type="dxa"/>
          <w:right w:w="70" w:type="dxa"/>
        </w:tblCellMar>
        <w:tblLook w:val="04A0" w:firstRow="1" w:lastRow="0" w:firstColumn="1" w:lastColumn="0" w:noHBand="0" w:noVBand="1"/>
      </w:tblPr>
      <w:tblGrid>
        <w:gridCol w:w="1696"/>
        <w:gridCol w:w="1701"/>
        <w:gridCol w:w="1985"/>
        <w:gridCol w:w="2410"/>
      </w:tblGrid>
      <w:tr w:rsidR="00126984" w:rsidRPr="00126984" w:rsidTr="00126984">
        <w:trPr>
          <w:trHeight w:val="750"/>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6984" w:rsidRPr="00126984" w:rsidRDefault="00126984" w:rsidP="00126984">
            <w:pPr>
              <w:spacing w:after="0" w:line="240" w:lineRule="auto"/>
              <w:rPr>
                <w:rFonts w:ascii="Calibri" w:eastAsia="Times New Roman" w:hAnsi="Calibri" w:cs="Times New Roman"/>
                <w:b/>
                <w:bCs/>
                <w:color w:val="000000"/>
                <w:lang w:eastAsia="fr-FR"/>
              </w:rPr>
            </w:pPr>
            <w:r w:rsidRPr="00126984">
              <w:rPr>
                <w:rFonts w:ascii="Calibri" w:eastAsia="Times New Roman" w:hAnsi="Calibri" w:cs="Times New Roman"/>
                <w:b/>
                <w:bCs/>
                <w:color w:val="000000"/>
                <w:lang w:eastAsia="fr-FR"/>
              </w:rPr>
              <w:t>Pictogramme</w:t>
            </w:r>
          </w:p>
        </w:tc>
        <w:tc>
          <w:tcPr>
            <w:tcW w:w="1701" w:type="dxa"/>
            <w:tcBorders>
              <w:top w:val="single" w:sz="4" w:space="0" w:color="auto"/>
              <w:left w:val="single" w:sz="4" w:space="0" w:color="auto"/>
              <w:bottom w:val="single" w:sz="4" w:space="0" w:color="auto"/>
              <w:right w:val="nil"/>
            </w:tcBorders>
            <w:shd w:val="clear" w:color="auto" w:fill="auto"/>
            <w:vAlign w:val="center"/>
            <w:hideMark/>
          </w:tcPr>
          <w:p w:rsidR="00126984" w:rsidRPr="00126984" w:rsidRDefault="00126984" w:rsidP="00126984">
            <w:pPr>
              <w:spacing w:after="0" w:line="240" w:lineRule="auto"/>
              <w:rPr>
                <w:rFonts w:ascii="Calibri" w:eastAsia="Times New Roman" w:hAnsi="Calibri" w:cs="Times New Roman"/>
                <w:b/>
                <w:bCs/>
                <w:color w:val="000000"/>
                <w:lang w:eastAsia="fr-FR"/>
              </w:rPr>
            </w:pPr>
            <w:r w:rsidRPr="00126984">
              <w:rPr>
                <w:rFonts w:ascii="Calibri" w:eastAsia="Times New Roman" w:hAnsi="Calibri" w:cs="Times New Roman"/>
                <w:b/>
                <w:bCs/>
                <w:color w:val="000000"/>
                <w:lang w:eastAsia="fr-FR"/>
              </w:rPr>
              <w:t>Mention</w:t>
            </w:r>
            <w:r w:rsidRPr="00126984">
              <w:rPr>
                <w:rFonts w:ascii="Calibri" w:eastAsia="Times New Roman" w:hAnsi="Calibri" w:cs="Times New Roman"/>
                <w:b/>
                <w:bCs/>
                <w:color w:val="000000"/>
                <w:lang w:eastAsia="fr-FR"/>
              </w:rPr>
              <w:br/>
              <w:t>d'avertissement</w:t>
            </w:r>
          </w:p>
        </w:tc>
        <w:tc>
          <w:tcPr>
            <w:tcW w:w="198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alibri" w:eastAsia="Times New Roman" w:hAnsi="Calibri" w:cs="Times New Roman"/>
                <w:b/>
                <w:bCs/>
                <w:color w:val="000000"/>
                <w:lang w:eastAsia="fr-FR"/>
              </w:rPr>
            </w:pPr>
            <w:r w:rsidRPr="00126984">
              <w:rPr>
                <w:rFonts w:ascii="Calibri" w:eastAsia="Times New Roman" w:hAnsi="Calibri" w:cs="Times New Roman"/>
                <w:b/>
                <w:bCs/>
                <w:color w:val="000000"/>
                <w:lang w:eastAsia="fr-FR"/>
              </w:rPr>
              <w:t>Mention de danger</w:t>
            </w:r>
          </w:p>
        </w:tc>
        <w:tc>
          <w:tcPr>
            <w:tcW w:w="2410" w:type="dxa"/>
            <w:tcBorders>
              <w:top w:val="single" w:sz="4" w:space="0" w:color="auto"/>
              <w:left w:val="nil"/>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alibri" w:eastAsia="Times New Roman" w:hAnsi="Calibri" w:cs="Times New Roman"/>
                <w:b/>
                <w:bCs/>
                <w:color w:val="000000"/>
                <w:lang w:eastAsia="fr-FR"/>
              </w:rPr>
            </w:pPr>
            <w:r w:rsidRPr="00126984">
              <w:rPr>
                <w:rFonts w:ascii="Calibri" w:eastAsia="Times New Roman" w:hAnsi="Calibri" w:cs="Times New Roman"/>
                <w:b/>
                <w:bCs/>
                <w:color w:val="000000"/>
                <w:lang w:eastAsia="fr-FR"/>
              </w:rPr>
              <w:t>Conseils de prudence</w:t>
            </w:r>
          </w:p>
        </w:tc>
      </w:tr>
      <w:tr w:rsidR="00126984" w:rsidRPr="00126984" w:rsidTr="00126984">
        <w:trPr>
          <w:trHeight w:val="1410"/>
        </w:trPr>
        <w:tc>
          <w:tcPr>
            <w:tcW w:w="1696" w:type="dxa"/>
            <w:tcBorders>
              <w:top w:val="single" w:sz="4" w:space="0" w:color="auto"/>
              <w:left w:val="single" w:sz="4" w:space="0" w:color="auto"/>
              <w:bottom w:val="single" w:sz="4" w:space="0" w:color="auto"/>
              <w:right w:val="nil"/>
            </w:tcBorders>
            <w:shd w:val="clear" w:color="auto" w:fill="auto"/>
            <w:noWrap/>
            <w:vAlign w:val="bottom"/>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noProof/>
                <w:color w:val="000000"/>
                <w:lang w:eastAsia="fr-FR"/>
              </w:rPr>
              <w:drawing>
                <wp:anchor distT="0" distB="0" distL="114300" distR="114300" simplePos="0" relativeHeight="251658240" behindDoc="0" locked="0" layoutInCell="1" allowOverlap="1">
                  <wp:simplePos x="0" y="0"/>
                  <wp:positionH relativeFrom="column">
                    <wp:posOffset>276225</wp:posOffset>
                  </wp:positionH>
                  <wp:positionV relativeFrom="paragraph">
                    <wp:posOffset>-452120</wp:posOffset>
                  </wp:positionV>
                  <wp:extent cx="542925" cy="523875"/>
                  <wp:effectExtent l="0" t="0" r="0" b="9525"/>
                  <wp:wrapNone/>
                  <wp:docPr id="1025" name="Image 1025" descr="acid_red[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picture">
                      <pic:pic xmlns:pic="http://schemas.openxmlformats.org/drawingml/2006/picture">
                        <pic:nvPicPr>
                          <pic:cNvPr id="1025" name="Picture 1" descr="acid_red[1]">
                            <a:extLst>
                              <a:ext uri="{FF2B5EF4-FFF2-40B4-BE49-F238E27FC236}">
                                <a16:creationId xmlns:a16="http://schemas.microsoft.com/office/drawing/2014/main" id="{00000000-0008-0000-0000-000001040000}"/>
                              </a:ext>
                            </a:extLst>
                          </pic:cNvPr>
                          <pic:cNvPicPr>
                            <a:picLocks noChangeAspect="1" noChangeArrowheads="1"/>
                          </pic:cNvPicPr>
                        </pic:nvPicPr>
                        <pic:blipFill>
                          <a:blip r:embed="rId8" cstate="print"/>
                          <a:srcRect/>
                          <a:stretch>
                            <a:fillRect/>
                          </a:stretch>
                        </pic:blipFill>
                        <pic:spPr bwMode="auto">
                          <a:xfrm>
                            <a:off x="0" y="0"/>
                            <a:ext cx="542925" cy="523875"/>
                          </a:xfrm>
                          <a:prstGeom prst="rect">
                            <a:avLst/>
                          </a:prstGeom>
                          <a:noFill/>
                          <a:ln w="9525" algn="in">
                            <a:noFill/>
                            <a:miter lim="800000"/>
                            <a:headEnd/>
                            <a:tailEnd/>
                          </a:ln>
                          <a:effectLst/>
                        </pic:spPr>
                      </pic:pic>
                    </a:graphicData>
                  </a:graphic>
                  <wp14:sizeRelH relativeFrom="page">
                    <wp14:pctWidth>0</wp14:pctWidth>
                  </wp14:sizeRelH>
                  <wp14:sizeRelV relativeFrom="page">
                    <wp14:pctHeight>0</wp14:pctHeight>
                  </wp14:sizeRelV>
                </wp:anchor>
              </w:drawing>
            </w:r>
          </w:p>
          <w:p w:rsidR="00126984" w:rsidRPr="00126984" w:rsidRDefault="00126984" w:rsidP="00126984">
            <w:pPr>
              <w:spacing w:after="0" w:line="240" w:lineRule="auto"/>
              <w:rPr>
                <w:rFonts w:ascii="Calibri" w:eastAsia="Times New Roman" w:hAnsi="Calibri" w:cs="Times New Roman"/>
                <w:color w:val="000000"/>
                <w:lang w:eastAsia="fr-FR"/>
              </w:rPr>
            </w:pP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Danger</w:t>
            </w:r>
          </w:p>
        </w:tc>
        <w:tc>
          <w:tcPr>
            <w:tcW w:w="1985" w:type="dxa"/>
            <w:tcBorders>
              <w:top w:val="single" w:sz="4" w:space="0" w:color="auto"/>
              <w:left w:val="nil"/>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 xml:space="preserve">H318                                                    </w:t>
            </w:r>
          </w:p>
        </w:tc>
        <w:tc>
          <w:tcPr>
            <w:tcW w:w="2410" w:type="dxa"/>
            <w:tcBorders>
              <w:top w:val="single" w:sz="4" w:space="0" w:color="auto"/>
              <w:left w:val="nil"/>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P280                                               P305 + P338 + P351               P310</w:t>
            </w:r>
          </w:p>
        </w:tc>
      </w:tr>
    </w:tbl>
    <w:p w:rsidR="00164D4E" w:rsidRDefault="00164D4E" w:rsidP="00331B6C">
      <w:pPr>
        <w:spacing w:after="0"/>
        <w:jc w:val="both"/>
        <w:rPr>
          <w:rFonts w:ascii="Calibri" w:eastAsia="Times New Roman" w:hAnsi="Calibri" w:cs="Times New Roman"/>
          <w:b/>
          <w:bCs/>
          <w:color w:val="000000"/>
          <w:lang w:eastAsia="fr-FR"/>
        </w:rPr>
      </w:pPr>
    </w:p>
    <w:p w:rsidR="00C71C66" w:rsidRDefault="00C71C66" w:rsidP="00331B6C">
      <w:pPr>
        <w:spacing w:after="0"/>
        <w:jc w:val="both"/>
      </w:pPr>
      <w:r w:rsidRPr="004672F2">
        <w:rPr>
          <w:rFonts w:ascii="Calibri" w:eastAsia="Times New Roman" w:hAnsi="Calibri" w:cs="Times New Roman"/>
          <w:b/>
          <w:bCs/>
          <w:color w:val="000000"/>
          <w:lang w:eastAsia="fr-FR"/>
        </w:rPr>
        <w:t>2.3. Autres dangers</w:t>
      </w:r>
    </w:p>
    <w:p w:rsidR="00C71C66" w:rsidRDefault="00126984" w:rsidP="00331B6C">
      <w:pPr>
        <w:spacing w:after="0"/>
        <w:jc w:val="both"/>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Non connu</w:t>
      </w:r>
    </w:p>
    <w:p w:rsidR="00126984" w:rsidRDefault="00126984" w:rsidP="00331B6C">
      <w:pPr>
        <w:spacing w:after="0"/>
        <w:jc w:val="both"/>
        <w:rPr>
          <w:rFonts w:ascii="Calibri" w:eastAsia="Times New Roman" w:hAnsi="Calibri" w:cs="Times New Roman"/>
          <w:color w:val="000000"/>
          <w:lang w:eastAsia="fr-FR"/>
        </w:rPr>
      </w:pPr>
    </w:p>
    <w:p w:rsidR="00126984" w:rsidRDefault="00126984" w:rsidP="00331B6C">
      <w:pPr>
        <w:spacing w:after="0"/>
        <w:jc w:val="both"/>
        <w:rPr>
          <w:rFonts w:ascii="Calibri" w:eastAsia="Times New Roman" w:hAnsi="Calibri" w:cs="Times New Roman"/>
          <w:color w:val="000000"/>
          <w:lang w:eastAsia="fr-FR"/>
        </w:rPr>
      </w:pPr>
    </w:p>
    <w:p w:rsidR="00126984" w:rsidRDefault="00126984" w:rsidP="00331B6C">
      <w:pPr>
        <w:spacing w:after="0"/>
        <w:jc w:val="both"/>
        <w:rPr>
          <w:rFonts w:ascii="Calibri" w:eastAsia="Times New Roman" w:hAnsi="Calibri" w:cs="Times New Roman"/>
          <w:color w:val="000000"/>
          <w:lang w:eastAsia="fr-FR"/>
        </w:rPr>
      </w:pPr>
    </w:p>
    <w:p w:rsidR="00126984" w:rsidRDefault="00126984" w:rsidP="00331B6C">
      <w:pPr>
        <w:spacing w:after="0"/>
        <w:jc w:val="both"/>
        <w:rPr>
          <w:rFonts w:ascii="Calibri" w:eastAsia="Times New Roman" w:hAnsi="Calibri" w:cs="Times New Roman"/>
          <w:color w:val="000000"/>
          <w:lang w:eastAsia="fr-FR"/>
        </w:rPr>
      </w:pPr>
    </w:p>
    <w:p w:rsidR="00126984" w:rsidRDefault="00126984" w:rsidP="00331B6C">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C71C66" w:rsidRPr="004672F2" w:rsidTr="004167AD">
        <w:trPr>
          <w:trHeight w:val="300"/>
        </w:trPr>
        <w:tc>
          <w:tcPr>
            <w:tcW w:w="9781" w:type="dxa"/>
            <w:shd w:val="clear" w:color="000000" w:fill="D9D9D9" w:themeFill="background1" w:themeFillShade="D9"/>
            <w:vAlign w:val="bottom"/>
            <w:hideMark/>
          </w:tcPr>
          <w:p w:rsidR="00C71C66" w:rsidRPr="004672F2" w:rsidRDefault="00C71C66"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lastRenderedPageBreak/>
              <w:t>SECTION 3 : Composition/informations sur les composants</w:t>
            </w:r>
          </w:p>
        </w:tc>
      </w:tr>
    </w:tbl>
    <w:p w:rsidR="00013B72" w:rsidRDefault="00013B72" w:rsidP="00331B6C">
      <w:pPr>
        <w:spacing w:after="0"/>
        <w:jc w:val="both"/>
        <w:rPr>
          <w:rFonts w:ascii="Calibri" w:eastAsia="Times New Roman" w:hAnsi="Calibri" w:cs="Times New Roman"/>
          <w:color w:val="000000"/>
          <w:lang w:eastAsia="fr-FR"/>
        </w:rPr>
      </w:pPr>
    </w:p>
    <w:tbl>
      <w:tblPr>
        <w:tblW w:w="10897" w:type="dxa"/>
        <w:tblCellMar>
          <w:left w:w="70" w:type="dxa"/>
          <w:right w:w="70" w:type="dxa"/>
        </w:tblCellMar>
        <w:tblLook w:val="04A0" w:firstRow="1" w:lastRow="0" w:firstColumn="1" w:lastColumn="0" w:noHBand="0" w:noVBand="1"/>
      </w:tblPr>
      <w:tblGrid>
        <w:gridCol w:w="65"/>
        <w:gridCol w:w="2891"/>
        <w:gridCol w:w="1266"/>
        <w:gridCol w:w="1268"/>
        <w:gridCol w:w="3094"/>
        <w:gridCol w:w="1204"/>
        <w:gridCol w:w="383"/>
        <w:gridCol w:w="535"/>
        <w:gridCol w:w="191"/>
      </w:tblGrid>
      <w:tr w:rsidR="00126984" w:rsidRPr="00126984" w:rsidTr="00126984">
        <w:trPr>
          <w:trHeight w:val="645"/>
        </w:trPr>
        <w:tc>
          <w:tcPr>
            <w:tcW w:w="296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b/>
                <w:bCs/>
                <w:sz w:val="18"/>
                <w:szCs w:val="18"/>
                <w:lang w:eastAsia="fr-FR"/>
              </w:rPr>
            </w:pPr>
            <w:r w:rsidRPr="00126984">
              <w:rPr>
                <w:rFonts w:ascii="Century Gothic" w:eastAsia="Times New Roman" w:hAnsi="Century Gothic" w:cs="Times New Roman"/>
                <w:b/>
                <w:bCs/>
                <w:sz w:val="18"/>
                <w:szCs w:val="18"/>
                <w:lang w:eastAsia="fr-FR"/>
              </w:rPr>
              <w:t>Nom</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b/>
                <w:bCs/>
                <w:sz w:val="18"/>
                <w:szCs w:val="18"/>
                <w:lang w:eastAsia="fr-FR"/>
              </w:rPr>
            </w:pPr>
            <w:r w:rsidRPr="00126984">
              <w:rPr>
                <w:rFonts w:ascii="Century Gothic" w:eastAsia="Times New Roman" w:hAnsi="Century Gothic" w:cs="Times New Roman"/>
                <w:b/>
                <w:bCs/>
                <w:sz w:val="18"/>
                <w:szCs w:val="18"/>
                <w:lang w:eastAsia="fr-FR"/>
              </w:rPr>
              <w:t>Nº CE</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b/>
                <w:bCs/>
                <w:sz w:val="18"/>
                <w:szCs w:val="18"/>
                <w:lang w:eastAsia="fr-FR"/>
              </w:rPr>
            </w:pPr>
            <w:r w:rsidRPr="00126984">
              <w:rPr>
                <w:rFonts w:ascii="Century Gothic" w:eastAsia="Times New Roman" w:hAnsi="Century Gothic" w:cs="Times New Roman"/>
                <w:b/>
                <w:bCs/>
                <w:sz w:val="18"/>
                <w:szCs w:val="18"/>
                <w:lang w:eastAsia="fr-FR"/>
              </w:rPr>
              <w:t>Nº CAS</w:t>
            </w:r>
          </w:p>
        </w:tc>
        <w:tc>
          <w:tcPr>
            <w:tcW w:w="3106" w:type="dxa"/>
            <w:tcBorders>
              <w:top w:val="single" w:sz="4" w:space="0" w:color="auto"/>
              <w:left w:val="nil"/>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b/>
                <w:bCs/>
                <w:sz w:val="16"/>
                <w:szCs w:val="16"/>
                <w:lang w:eastAsia="fr-FR"/>
              </w:rPr>
            </w:pPr>
            <w:r w:rsidRPr="00126984">
              <w:rPr>
                <w:rFonts w:ascii="Century Gothic" w:eastAsia="Times New Roman" w:hAnsi="Century Gothic" w:cs="Times New Roman"/>
                <w:b/>
                <w:bCs/>
                <w:sz w:val="16"/>
                <w:szCs w:val="16"/>
                <w:lang w:eastAsia="fr-FR"/>
              </w:rPr>
              <w:t>Classification CLP</w:t>
            </w:r>
          </w:p>
        </w:tc>
        <w:tc>
          <w:tcPr>
            <w:tcW w:w="2124" w:type="dxa"/>
            <w:gridSpan w:val="3"/>
            <w:tcBorders>
              <w:top w:val="single" w:sz="4" w:space="0" w:color="auto"/>
              <w:left w:val="nil"/>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jc w:val="center"/>
              <w:rPr>
                <w:rFonts w:ascii="Century Gothic" w:eastAsia="Times New Roman" w:hAnsi="Century Gothic" w:cs="Times New Roman"/>
                <w:b/>
                <w:bCs/>
                <w:sz w:val="18"/>
                <w:szCs w:val="18"/>
                <w:lang w:eastAsia="fr-FR"/>
              </w:rPr>
            </w:pPr>
            <w:r w:rsidRPr="00126984">
              <w:rPr>
                <w:rFonts w:ascii="Century Gothic" w:eastAsia="Times New Roman" w:hAnsi="Century Gothic" w:cs="Times New Roman"/>
                <w:b/>
                <w:bCs/>
                <w:sz w:val="18"/>
                <w:szCs w:val="18"/>
                <w:lang w:eastAsia="fr-FR"/>
              </w:rPr>
              <w:t>Nº D'ENREGISTREMENT REACH</w:t>
            </w:r>
          </w:p>
        </w:tc>
        <w:tc>
          <w:tcPr>
            <w:tcW w:w="160" w:type="dxa"/>
            <w:tcBorders>
              <w:top w:val="single" w:sz="4" w:space="0" w:color="auto"/>
              <w:left w:val="nil"/>
              <w:bottom w:val="nil"/>
              <w:right w:val="single" w:sz="4" w:space="0" w:color="auto"/>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b/>
                <w:bCs/>
                <w:sz w:val="18"/>
                <w:szCs w:val="18"/>
                <w:lang w:eastAsia="fr-FR"/>
              </w:rPr>
            </w:pPr>
            <w:r w:rsidRPr="00126984">
              <w:rPr>
                <w:rFonts w:ascii="Century Gothic" w:eastAsia="Times New Roman" w:hAnsi="Century Gothic" w:cs="Times New Roman"/>
                <w:b/>
                <w:bCs/>
                <w:sz w:val="18"/>
                <w:szCs w:val="18"/>
                <w:lang w:eastAsia="fr-FR"/>
              </w:rPr>
              <w:t> </w:t>
            </w:r>
          </w:p>
        </w:tc>
      </w:tr>
      <w:tr w:rsidR="00126984" w:rsidRPr="00126984" w:rsidTr="00126984">
        <w:trPr>
          <w:trHeight w:val="885"/>
        </w:trPr>
        <w:tc>
          <w:tcPr>
            <w:tcW w:w="296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color w:val="000000"/>
                <w:sz w:val="18"/>
                <w:szCs w:val="18"/>
                <w:lang w:eastAsia="fr-FR"/>
              </w:rPr>
            </w:pPr>
            <w:r w:rsidRPr="00126984">
              <w:rPr>
                <w:rFonts w:ascii="Century Gothic" w:eastAsia="Times New Roman" w:hAnsi="Century Gothic" w:cs="Times New Roman"/>
                <w:color w:val="000000"/>
                <w:sz w:val="18"/>
                <w:szCs w:val="18"/>
                <w:lang w:eastAsia="fr-FR"/>
              </w:rPr>
              <w:t>Superphosphate simple (SSP)</w:t>
            </w:r>
          </w:p>
        </w:tc>
        <w:tc>
          <w:tcPr>
            <w:tcW w:w="1271" w:type="dxa"/>
            <w:tcBorders>
              <w:top w:val="nil"/>
              <w:left w:val="nil"/>
              <w:bottom w:val="single" w:sz="4" w:space="0" w:color="auto"/>
              <w:right w:val="single" w:sz="4" w:space="0" w:color="auto"/>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color w:val="000000"/>
                <w:sz w:val="18"/>
                <w:szCs w:val="18"/>
                <w:lang w:eastAsia="fr-FR"/>
              </w:rPr>
            </w:pPr>
            <w:r w:rsidRPr="00126984">
              <w:rPr>
                <w:rFonts w:ascii="Century Gothic" w:eastAsia="Times New Roman" w:hAnsi="Century Gothic" w:cs="Times New Roman"/>
                <w:color w:val="000000"/>
                <w:sz w:val="18"/>
                <w:szCs w:val="18"/>
                <w:lang w:eastAsia="fr-FR"/>
              </w:rPr>
              <w:t>32-379-5</w:t>
            </w:r>
          </w:p>
        </w:tc>
        <w:tc>
          <w:tcPr>
            <w:tcW w:w="1272" w:type="dxa"/>
            <w:tcBorders>
              <w:top w:val="nil"/>
              <w:left w:val="nil"/>
              <w:bottom w:val="single" w:sz="4" w:space="0" w:color="auto"/>
              <w:right w:val="single" w:sz="4" w:space="0" w:color="auto"/>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color w:val="000000"/>
                <w:sz w:val="18"/>
                <w:szCs w:val="18"/>
                <w:lang w:eastAsia="fr-FR"/>
              </w:rPr>
            </w:pPr>
            <w:r w:rsidRPr="00126984">
              <w:rPr>
                <w:rFonts w:ascii="Century Gothic" w:eastAsia="Times New Roman" w:hAnsi="Century Gothic" w:cs="Times New Roman"/>
                <w:color w:val="000000"/>
                <w:sz w:val="18"/>
                <w:szCs w:val="18"/>
                <w:lang w:eastAsia="fr-FR"/>
              </w:rPr>
              <w:t>8011-76-5</w:t>
            </w:r>
          </w:p>
        </w:tc>
        <w:tc>
          <w:tcPr>
            <w:tcW w:w="3106" w:type="dxa"/>
            <w:tcBorders>
              <w:top w:val="single" w:sz="4" w:space="0" w:color="auto"/>
              <w:left w:val="nil"/>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jc w:val="center"/>
              <w:rPr>
                <w:rFonts w:ascii="Century Gothic" w:eastAsia="Times New Roman" w:hAnsi="Century Gothic" w:cs="Times New Roman"/>
                <w:sz w:val="18"/>
                <w:szCs w:val="18"/>
                <w:lang w:eastAsia="fr-FR"/>
              </w:rPr>
            </w:pPr>
            <w:proofErr w:type="spellStart"/>
            <w:r w:rsidRPr="00126984">
              <w:rPr>
                <w:rFonts w:ascii="Century Gothic" w:eastAsia="Times New Roman" w:hAnsi="Century Gothic" w:cs="Times New Roman"/>
                <w:sz w:val="16"/>
                <w:szCs w:val="16"/>
                <w:lang w:eastAsia="fr-FR"/>
              </w:rPr>
              <w:t>Lesions</w:t>
            </w:r>
            <w:proofErr w:type="spellEnd"/>
            <w:r w:rsidRPr="00126984">
              <w:rPr>
                <w:rFonts w:ascii="Century Gothic" w:eastAsia="Times New Roman" w:hAnsi="Century Gothic" w:cs="Times New Roman"/>
                <w:sz w:val="16"/>
                <w:szCs w:val="16"/>
                <w:lang w:eastAsia="fr-FR"/>
              </w:rPr>
              <w:t xml:space="preserve"> oculaires graves catégories 1</w:t>
            </w:r>
            <w:r w:rsidRPr="00126984">
              <w:rPr>
                <w:rFonts w:ascii="Century Gothic" w:eastAsia="Times New Roman" w:hAnsi="Century Gothic" w:cs="Times New Roman"/>
                <w:sz w:val="18"/>
                <w:szCs w:val="18"/>
                <w:lang w:eastAsia="fr-FR"/>
              </w:rPr>
              <w:t xml:space="preserve"> </w:t>
            </w:r>
            <w:r w:rsidRPr="00126984">
              <w:rPr>
                <w:rFonts w:ascii="Century Gothic" w:eastAsia="Times New Roman" w:hAnsi="Century Gothic" w:cs="Times New Roman"/>
                <w:sz w:val="18"/>
                <w:szCs w:val="18"/>
                <w:lang w:eastAsia="fr-FR"/>
              </w:rPr>
              <w:br/>
              <w:t>H318, H315</w:t>
            </w:r>
          </w:p>
        </w:tc>
        <w:tc>
          <w:tcPr>
            <w:tcW w:w="2124" w:type="dxa"/>
            <w:gridSpan w:val="3"/>
            <w:tcBorders>
              <w:top w:val="single" w:sz="4" w:space="0" w:color="auto"/>
              <w:left w:val="nil"/>
              <w:bottom w:val="single" w:sz="4" w:space="0" w:color="auto"/>
              <w:right w:val="single" w:sz="4" w:space="0" w:color="auto"/>
            </w:tcBorders>
            <w:shd w:val="clear" w:color="auto" w:fill="auto"/>
            <w:vAlign w:val="center"/>
            <w:hideMark/>
          </w:tcPr>
          <w:p w:rsidR="00126984" w:rsidRPr="00126984" w:rsidRDefault="00126984" w:rsidP="00126984">
            <w:pPr>
              <w:spacing w:after="0" w:line="240" w:lineRule="auto"/>
              <w:jc w:val="center"/>
              <w:rPr>
                <w:rFonts w:ascii="Century Gothic" w:eastAsia="Times New Roman" w:hAnsi="Century Gothic" w:cs="Times New Roman"/>
                <w:sz w:val="18"/>
                <w:szCs w:val="18"/>
                <w:lang w:eastAsia="fr-FR"/>
              </w:rPr>
            </w:pPr>
            <w:r w:rsidRPr="00126984">
              <w:rPr>
                <w:rFonts w:ascii="Century Gothic" w:eastAsia="Times New Roman" w:hAnsi="Century Gothic" w:cs="Times New Roman"/>
                <w:sz w:val="18"/>
                <w:szCs w:val="18"/>
                <w:lang w:eastAsia="fr-FR"/>
              </w:rPr>
              <w:t>01-2119488967-11-0028</w:t>
            </w:r>
          </w:p>
        </w:tc>
        <w:tc>
          <w:tcPr>
            <w:tcW w:w="160" w:type="dxa"/>
            <w:tcBorders>
              <w:top w:val="nil"/>
              <w:left w:val="nil"/>
              <w:bottom w:val="nil"/>
              <w:right w:val="single" w:sz="4" w:space="0" w:color="auto"/>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b/>
                <w:bCs/>
                <w:sz w:val="18"/>
                <w:szCs w:val="18"/>
                <w:lang w:eastAsia="fr-FR"/>
              </w:rPr>
            </w:pPr>
            <w:r w:rsidRPr="00126984">
              <w:rPr>
                <w:rFonts w:ascii="Century Gothic" w:eastAsia="Times New Roman" w:hAnsi="Century Gothic" w:cs="Times New Roman"/>
                <w:b/>
                <w:bCs/>
                <w:sz w:val="18"/>
                <w:szCs w:val="18"/>
                <w:lang w:eastAsia="fr-FR"/>
              </w:rPr>
              <w:t> </w:t>
            </w:r>
          </w:p>
        </w:tc>
      </w:tr>
      <w:tr w:rsidR="00126984" w:rsidRPr="00126984" w:rsidTr="00126984">
        <w:trPr>
          <w:trHeight w:val="885"/>
        </w:trPr>
        <w:tc>
          <w:tcPr>
            <w:tcW w:w="296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color w:val="000000"/>
                <w:sz w:val="18"/>
                <w:szCs w:val="18"/>
                <w:lang w:eastAsia="fr-FR"/>
              </w:rPr>
            </w:pPr>
            <w:r w:rsidRPr="00126984">
              <w:rPr>
                <w:rFonts w:ascii="Century Gothic" w:eastAsia="Times New Roman" w:hAnsi="Century Gothic" w:cs="Times New Roman"/>
                <w:color w:val="000000"/>
                <w:sz w:val="18"/>
                <w:szCs w:val="18"/>
                <w:lang w:eastAsia="fr-FR"/>
              </w:rPr>
              <w:t>Phosphate</w:t>
            </w:r>
          </w:p>
        </w:tc>
        <w:tc>
          <w:tcPr>
            <w:tcW w:w="7773" w:type="dxa"/>
            <w:gridSpan w:val="6"/>
            <w:tcBorders>
              <w:top w:val="single" w:sz="4" w:space="0" w:color="auto"/>
              <w:left w:val="nil"/>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color w:val="000000"/>
                <w:sz w:val="18"/>
                <w:szCs w:val="18"/>
                <w:lang w:eastAsia="fr-FR"/>
              </w:rPr>
            </w:pPr>
            <w:r w:rsidRPr="00126984">
              <w:rPr>
                <w:rFonts w:ascii="Century Gothic" w:eastAsia="Times New Roman" w:hAnsi="Century Gothic" w:cs="Times New Roman"/>
                <w:color w:val="000000"/>
                <w:sz w:val="18"/>
                <w:szCs w:val="18"/>
                <w:lang w:eastAsia="fr-FR"/>
              </w:rPr>
              <w:t xml:space="preserve">Cette substance est </w:t>
            </w:r>
            <w:proofErr w:type="gramStart"/>
            <w:r w:rsidRPr="00126984">
              <w:rPr>
                <w:rFonts w:ascii="Century Gothic" w:eastAsia="Times New Roman" w:hAnsi="Century Gothic" w:cs="Times New Roman"/>
                <w:color w:val="000000"/>
                <w:sz w:val="18"/>
                <w:szCs w:val="18"/>
                <w:lang w:eastAsia="fr-FR"/>
              </w:rPr>
              <w:t>exempté</w:t>
            </w:r>
            <w:proofErr w:type="gramEnd"/>
            <w:r w:rsidRPr="00126984">
              <w:rPr>
                <w:rFonts w:ascii="Century Gothic" w:eastAsia="Times New Roman" w:hAnsi="Century Gothic" w:cs="Times New Roman"/>
                <w:color w:val="000000"/>
                <w:sz w:val="18"/>
                <w:szCs w:val="18"/>
                <w:lang w:eastAsia="fr-FR"/>
              </w:rPr>
              <w:t xml:space="preserve"> de l'inscription de </w:t>
            </w:r>
            <w:proofErr w:type="spellStart"/>
            <w:r w:rsidRPr="00126984">
              <w:rPr>
                <w:rFonts w:ascii="Century Gothic" w:eastAsia="Times New Roman" w:hAnsi="Century Gothic" w:cs="Times New Roman"/>
                <w:color w:val="000000"/>
                <w:sz w:val="18"/>
                <w:szCs w:val="18"/>
                <w:lang w:eastAsia="fr-FR"/>
              </w:rPr>
              <w:t>règmement</w:t>
            </w:r>
            <w:proofErr w:type="spellEnd"/>
            <w:r w:rsidRPr="00126984">
              <w:rPr>
                <w:rFonts w:ascii="Century Gothic" w:eastAsia="Times New Roman" w:hAnsi="Century Gothic" w:cs="Times New Roman"/>
                <w:color w:val="000000"/>
                <w:sz w:val="18"/>
                <w:szCs w:val="18"/>
                <w:lang w:eastAsia="fr-FR"/>
              </w:rPr>
              <w:t xml:space="preserve"> REACH conformément à l'article 2 (7) (a) et (b) Annexe V : Catégorie : 7 Substance d'origine naturelle, non chimiquement modifiée</w:t>
            </w:r>
          </w:p>
        </w:tc>
        <w:tc>
          <w:tcPr>
            <w:tcW w:w="160" w:type="dxa"/>
            <w:tcBorders>
              <w:top w:val="nil"/>
              <w:left w:val="nil"/>
              <w:bottom w:val="nil"/>
              <w:right w:val="single" w:sz="4" w:space="0" w:color="auto"/>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b/>
                <w:bCs/>
                <w:sz w:val="18"/>
                <w:szCs w:val="18"/>
                <w:lang w:eastAsia="fr-FR"/>
              </w:rPr>
            </w:pPr>
            <w:r w:rsidRPr="00126984">
              <w:rPr>
                <w:rFonts w:ascii="Century Gothic" w:eastAsia="Times New Roman" w:hAnsi="Century Gothic" w:cs="Times New Roman"/>
                <w:b/>
                <w:bCs/>
                <w:sz w:val="18"/>
                <w:szCs w:val="18"/>
                <w:lang w:eastAsia="fr-FR"/>
              </w:rPr>
              <w:t> </w:t>
            </w:r>
          </w:p>
        </w:tc>
      </w:tr>
      <w:tr w:rsidR="00126984" w:rsidRPr="00126984" w:rsidTr="00126984">
        <w:trPr>
          <w:trHeight w:val="885"/>
        </w:trPr>
        <w:tc>
          <w:tcPr>
            <w:tcW w:w="296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color w:val="000000"/>
                <w:sz w:val="18"/>
                <w:szCs w:val="18"/>
                <w:lang w:eastAsia="fr-FR"/>
              </w:rPr>
            </w:pPr>
            <w:r w:rsidRPr="00126984">
              <w:rPr>
                <w:rFonts w:ascii="Century Gothic" w:eastAsia="Times New Roman" w:hAnsi="Century Gothic" w:cs="Times New Roman"/>
                <w:color w:val="000000"/>
                <w:sz w:val="18"/>
                <w:szCs w:val="18"/>
                <w:lang w:eastAsia="fr-FR"/>
              </w:rPr>
              <w:t xml:space="preserve">Oxyde de </w:t>
            </w:r>
            <w:proofErr w:type="spellStart"/>
            <w:r w:rsidRPr="00126984">
              <w:rPr>
                <w:rFonts w:ascii="Century Gothic" w:eastAsia="Times New Roman" w:hAnsi="Century Gothic" w:cs="Times New Roman"/>
                <w:color w:val="000000"/>
                <w:sz w:val="18"/>
                <w:szCs w:val="18"/>
                <w:lang w:eastAsia="fr-FR"/>
              </w:rPr>
              <w:t>mangésium</w:t>
            </w:r>
            <w:proofErr w:type="spellEnd"/>
            <w:r w:rsidRPr="00126984">
              <w:rPr>
                <w:rFonts w:ascii="Century Gothic" w:eastAsia="Times New Roman" w:hAnsi="Century Gothic" w:cs="Times New Roman"/>
                <w:color w:val="000000"/>
                <w:sz w:val="18"/>
                <w:szCs w:val="18"/>
                <w:lang w:eastAsia="fr-FR"/>
              </w:rPr>
              <w:t xml:space="preserve"> (MgO)</w:t>
            </w:r>
          </w:p>
        </w:tc>
        <w:tc>
          <w:tcPr>
            <w:tcW w:w="7773" w:type="dxa"/>
            <w:gridSpan w:val="6"/>
            <w:tcBorders>
              <w:top w:val="single" w:sz="4" w:space="0" w:color="auto"/>
              <w:left w:val="nil"/>
              <w:bottom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color w:val="000000"/>
                <w:sz w:val="18"/>
                <w:szCs w:val="18"/>
                <w:lang w:eastAsia="fr-FR"/>
              </w:rPr>
            </w:pPr>
            <w:r w:rsidRPr="00126984">
              <w:rPr>
                <w:rFonts w:ascii="Century Gothic" w:eastAsia="Times New Roman" w:hAnsi="Century Gothic" w:cs="Times New Roman"/>
                <w:color w:val="000000"/>
                <w:sz w:val="18"/>
                <w:szCs w:val="18"/>
                <w:lang w:eastAsia="fr-FR"/>
              </w:rPr>
              <w:t xml:space="preserve">Cette substance est </w:t>
            </w:r>
            <w:proofErr w:type="gramStart"/>
            <w:r w:rsidRPr="00126984">
              <w:rPr>
                <w:rFonts w:ascii="Century Gothic" w:eastAsia="Times New Roman" w:hAnsi="Century Gothic" w:cs="Times New Roman"/>
                <w:color w:val="000000"/>
                <w:sz w:val="18"/>
                <w:szCs w:val="18"/>
                <w:lang w:eastAsia="fr-FR"/>
              </w:rPr>
              <w:t>exempté</w:t>
            </w:r>
            <w:proofErr w:type="gramEnd"/>
            <w:r w:rsidRPr="00126984">
              <w:rPr>
                <w:rFonts w:ascii="Century Gothic" w:eastAsia="Times New Roman" w:hAnsi="Century Gothic" w:cs="Times New Roman"/>
                <w:color w:val="000000"/>
                <w:sz w:val="18"/>
                <w:szCs w:val="18"/>
                <w:lang w:eastAsia="fr-FR"/>
              </w:rPr>
              <w:t xml:space="preserve"> de l'inscription de </w:t>
            </w:r>
            <w:proofErr w:type="spellStart"/>
            <w:r w:rsidRPr="00126984">
              <w:rPr>
                <w:rFonts w:ascii="Century Gothic" w:eastAsia="Times New Roman" w:hAnsi="Century Gothic" w:cs="Times New Roman"/>
                <w:color w:val="000000"/>
                <w:sz w:val="18"/>
                <w:szCs w:val="18"/>
                <w:lang w:eastAsia="fr-FR"/>
              </w:rPr>
              <w:t>règmement</w:t>
            </w:r>
            <w:proofErr w:type="spellEnd"/>
            <w:r w:rsidRPr="00126984">
              <w:rPr>
                <w:rFonts w:ascii="Century Gothic" w:eastAsia="Times New Roman" w:hAnsi="Century Gothic" w:cs="Times New Roman"/>
                <w:color w:val="000000"/>
                <w:sz w:val="18"/>
                <w:szCs w:val="18"/>
                <w:lang w:eastAsia="fr-FR"/>
              </w:rPr>
              <w:t xml:space="preserve"> REACH conformément à l'article 2 (7) (a) et (b) Annexe V : Catégorie : 7 Substance d'origine naturelle, non chimiquement modifiée</w:t>
            </w:r>
          </w:p>
        </w:tc>
        <w:tc>
          <w:tcPr>
            <w:tcW w:w="160" w:type="dxa"/>
            <w:tcBorders>
              <w:top w:val="nil"/>
              <w:left w:val="nil"/>
              <w:bottom w:val="nil"/>
              <w:right w:val="single" w:sz="4" w:space="0" w:color="auto"/>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b/>
                <w:bCs/>
                <w:sz w:val="18"/>
                <w:szCs w:val="18"/>
                <w:lang w:eastAsia="fr-FR"/>
              </w:rPr>
            </w:pPr>
            <w:r w:rsidRPr="00126984">
              <w:rPr>
                <w:rFonts w:ascii="Century Gothic" w:eastAsia="Times New Roman" w:hAnsi="Century Gothic" w:cs="Times New Roman"/>
                <w:b/>
                <w:bCs/>
                <w:sz w:val="18"/>
                <w:szCs w:val="18"/>
                <w:lang w:eastAsia="fr-FR"/>
              </w:rPr>
              <w:t> </w:t>
            </w:r>
          </w:p>
        </w:tc>
      </w:tr>
      <w:tr w:rsidR="00126984" w:rsidRPr="00126984" w:rsidTr="00126984">
        <w:trPr>
          <w:gridAfter w:val="2"/>
          <w:wAfter w:w="696" w:type="dxa"/>
          <w:trHeight w:val="600"/>
        </w:trPr>
        <w:tc>
          <w:tcPr>
            <w:tcW w:w="10201" w:type="dxa"/>
            <w:gridSpan w:val="7"/>
            <w:tcBorders>
              <w:top w:val="single" w:sz="4" w:space="0" w:color="auto"/>
              <w:left w:val="single" w:sz="4" w:space="0" w:color="auto"/>
              <w:right w:val="single" w:sz="4" w:space="0" w:color="000000"/>
            </w:tcBorders>
            <w:shd w:val="clear" w:color="auto" w:fill="auto"/>
            <w:vAlign w:val="center"/>
            <w:hideMark/>
          </w:tcPr>
          <w:p w:rsidR="00126984" w:rsidRPr="00126984" w:rsidRDefault="00126984" w:rsidP="00126984">
            <w:pPr>
              <w:spacing w:after="0" w:line="240" w:lineRule="auto"/>
              <w:rPr>
                <w:rFonts w:ascii="Century Gothic" w:eastAsia="Times New Roman" w:hAnsi="Century Gothic" w:cs="Times New Roman"/>
                <w:i/>
                <w:iCs/>
                <w:sz w:val="18"/>
                <w:szCs w:val="18"/>
                <w:lang w:eastAsia="fr-FR"/>
              </w:rPr>
            </w:pPr>
            <w:r w:rsidRPr="00126984">
              <w:rPr>
                <w:rFonts w:ascii="Century Gothic" w:eastAsia="Times New Roman" w:hAnsi="Century Gothic" w:cs="Times New Roman"/>
                <w:i/>
                <w:iCs/>
                <w:sz w:val="18"/>
                <w:szCs w:val="18"/>
                <w:lang w:eastAsia="fr-FR"/>
              </w:rPr>
              <w:t xml:space="preserve">Le n° CE correspond au nº EINECS ou ELINCS. </w:t>
            </w:r>
            <w:proofErr w:type="gramStart"/>
            <w:r w:rsidRPr="00126984">
              <w:rPr>
                <w:rFonts w:ascii="Century Gothic" w:eastAsia="Times New Roman" w:hAnsi="Century Gothic" w:cs="Times New Roman"/>
                <w:i/>
                <w:iCs/>
                <w:sz w:val="18"/>
                <w:szCs w:val="18"/>
                <w:lang w:eastAsia="fr-FR"/>
              </w:rPr>
              <w:t>et</w:t>
            </w:r>
            <w:proofErr w:type="gramEnd"/>
            <w:r w:rsidRPr="00126984">
              <w:rPr>
                <w:rFonts w:ascii="Century Gothic" w:eastAsia="Times New Roman" w:hAnsi="Century Gothic" w:cs="Times New Roman"/>
                <w:i/>
                <w:iCs/>
                <w:sz w:val="18"/>
                <w:szCs w:val="18"/>
                <w:lang w:eastAsia="fr-FR"/>
              </w:rPr>
              <w:t xml:space="preserve"> le Nº d'index au nº de la Liste harmonisée de la classification et l'étiquetage des substances dangereuses ou au catalogue de </w:t>
            </w:r>
            <w:proofErr w:type="spellStart"/>
            <w:r w:rsidRPr="00126984">
              <w:rPr>
                <w:rFonts w:ascii="Century Gothic" w:eastAsia="Times New Roman" w:hAnsi="Century Gothic" w:cs="Times New Roman"/>
                <w:i/>
                <w:iCs/>
                <w:sz w:val="18"/>
                <w:szCs w:val="18"/>
                <w:lang w:eastAsia="fr-FR"/>
              </w:rPr>
              <w:t>laclassification</w:t>
            </w:r>
            <w:proofErr w:type="spellEnd"/>
            <w:r w:rsidRPr="00126984">
              <w:rPr>
                <w:rFonts w:ascii="Century Gothic" w:eastAsia="Times New Roman" w:hAnsi="Century Gothic" w:cs="Times New Roman"/>
                <w:i/>
                <w:iCs/>
                <w:sz w:val="18"/>
                <w:szCs w:val="18"/>
                <w:lang w:eastAsia="fr-FR"/>
              </w:rPr>
              <w:t xml:space="preserve"> et l'étiquetage</w:t>
            </w:r>
          </w:p>
        </w:tc>
      </w:tr>
      <w:tr w:rsidR="00126984" w:rsidRPr="00126984" w:rsidTr="00126984">
        <w:trPr>
          <w:gridAfter w:val="2"/>
          <w:wAfter w:w="696" w:type="dxa"/>
          <w:trHeight w:val="198"/>
        </w:trPr>
        <w:tc>
          <w:tcPr>
            <w:tcW w:w="10201" w:type="dxa"/>
            <w:gridSpan w:val="7"/>
            <w:shd w:val="clear" w:color="auto" w:fill="auto"/>
            <w:vAlign w:val="center"/>
          </w:tcPr>
          <w:p w:rsidR="00126984" w:rsidRPr="00126984" w:rsidRDefault="00126984" w:rsidP="00126984">
            <w:pPr>
              <w:spacing w:after="0" w:line="240" w:lineRule="auto"/>
              <w:rPr>
                <w:rFonts w:ascii="Century Gothic" w:eastAsia="Times New Roman" w:hAnsi="Century Gothic" w:cs="Times New Roman"/>
                <w:i/>
                <w:iCs/>
                <w:sz w:val="18"/>
                <w:szCs w:val="18"/>
                <w:lang w:eastAsia="fr-FR"/>
              </w:rPr>
            </w:pPr>
          </w:p>
        </w:tc>
      </w:tr>
      <w:tr w:rsidR="00C71C66" w:rsidRPr="004672F2" w:rsidTr="00126984">
        <w:tblPrEx>
          <w:tblBorders>
            <w:top w:val="single" w:sz="12" w:space="0" w:color="auto"/>
          </w:tblBorders>
          <w:shd w:val="clear" w:color="000000" w:fill="D9D9D9" w:themeFill="background1" w:themeFillShade="D9"/>
        </w:tblPrEx>
        <w:trPr>
          <w:gridBefore w:val="1"/>
          <w:gridAfter w:val="3"/>
          <w:wBefore w:w="65" w:type="dxa"/>
          <w:wAfter w:w="1080" w:type="dxa"/>
          <w:trHeight w:val="300"/>
        </w:trPr>
        <w:tc>
          <w:tcPr>
            <w:tcW w:w="9752" w:type="dxa"/>
            <w:gridSpan w:val="5"/>
            <w:shd w:val="clear" w:color="000000" w:fill="D9D9D9" w:themeFill="background1" w:themeFillShade="D9"/>
            <w:vAlign w:val="bottom"/>
            <w:hideMark/>
          </w:tcPr>
          <w:p w:rsidR="00C71C66" w:rsidRPr="004672F2" w:rsidRDefault="00C71C66"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4 : Premiers secours</w:t>
            </w:r>
          </w:p>
        </w:tc>
      </w:tr>
    </w:tbl>
    <w:p w:rsidR="00C71C66" w:rsidRDefault="00C71C66" w:rsidP="00331B6C">
      <w:pPr>
        <w:spacing w:after="0"/>
        <w:jc w:val="both"/>
      </w:pPr>
    </w:p>
    <w:p w:rsidR="00C71C66" w:rsidRDefault="00C71C66"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4.1. Description des premiers secours</w:t>
      </w:r>
    </w:p>
    <w:tbl>
      <w:tblPr>
        <w:tblW w:w="10343" w:type="dxa"/>
        <w:tblCellMar>
          <w:left w:w="70" w:type="dxa"/>
          <w:right w:w="70" w:type="dxa"/>
        </w:tblCellMar>
        <w:tblLook w:val="04A0" w:firstRow="1" w:lastRow="0" w:firstColumn="1" w:lastColumn="0" w:noHBand="0" w:noVBand="1"/>
      </w:tblPr>
      <w:tblGrid>
        <w:gridCol w:w="2122"/>
        <w:gridCol w:w="8221"/>
      </w:tblGrid>
      <w:tr w:rsidR="00126984" w:rsidRPr="00126984" w:rsidTr="00126984">
        <w:trPr>
          <w:trHeight w:val="1185"/>
        </w:trPr>
        <w:tc>
          <w:tcPr>
            <w:tcW w:w="2122" w:type="dxa"/>
            <w:shd w:val="clear" w:color="auto" w:fill="auto"/>
            <w:hideMark/>
          </w:tcPr>
          <w:p w:rsidR="00126984" w:rsidRPr="00126984" w:rsidRDefault="00126984" w:rsidP="00126984">
            <w:pPr>
              <w:spacing w:after="0" w:line="240" w:lineRule="auto"/>
              <w:rPr>
                <w:rFonts w:ascii="Calibri" w:eastAsia="Times New Roman" w:hAnsi="Calibri" w:cs="Times New Roman"/>
                <w:b/>
                <w:bCs/>
                <w:lang w:eastAsia="fr-FR"/>
              </w:rPr>
            </w:pPr>
            <w:r w:rsidRPr="00126984">
              <w:rPr>
                <w:rFonts w:ascii="Calibri" w:eastAsia="Times New Roman" w:hAnsi="Calibri" w:cs="Times New Roman"/>
                <w:b/>
                <w:bCs/>
                <w:lang w:eastAsia="fr-FR"/>
              </w:rPr>
              <w:t>Inhalation</w:t>
            </w:r>
          </w:p>
        </w:tc>
        <w:tc>
          <w:tcPr>
            <w:tcW w:w="8221" w:type="dxa"/>
            <w:shd w:val="clear" w:color="auto" w:fill="auto"/>
            <w:vAlign w:val="center"/>
            <w:hideMark/>
          </w:tcPr>
          <w:p w:rsid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Faire respirer de l'air frais. Le cas échéant, pratiquer la respiration artificielle ou administrer de l'oxygène et consulter immédiatement un médecin. Ne pratiquez pas la respiration bouche à bouche. Consulter un médecin immédiatement quand ont été inhalés les poudres de la substance dans une forme massive.</w:t>
            </w:r>
          </w:p>
          <w:p w:rsidR="00126984" w:rsidRPr="00126984" w:rsidRDefault="00126984" w:rsidP="00126984">
            <w:pPr>
              <w:spacing w:after="0" w:line="240" w:lineRule="auto"/>
              <w:rPr>
                <w:rFonts w:ascii="Calibri" w:eastAsia="Times New Roman" w:hAnsi="Calibri" w:cs="Times New Roman"/>
                <w:color w:val="000000"/>
                <w:lang w:eastAsia="fr-FR"/>
              </w:rPr>
            </w:pPr>
          </w:p>
        </w:tc>
      </w:tr>
      <w:tr w:rsidR="00126984" w:rsidRPr="00126984" w:rsidTr="00126984">
        <w:trPr>
          <w:trHeight w:val="420"/>
        </w:trPr>
        <w:tc>
          <w:tcPr>
            <w:tcW w:w="2122" w:type="dxa"/>
            <w:shd w:val="clear" w:color="auto" w:fill="auto"/>
            <w:hideMark/>
          </w:tcPr>
          <w:p w:rsidR="00126984" w:rsidRPr="00126984" w:rsidRDefault="00126984" w:rsidP="00126984">
            <w:pPr>
              <w:spacing w:after="0" w:line="240" w:lineRule="auto"/>
              <w:rPr>
                <w:rFonts w:ascii="Calibri" w:eastAsia="Times New Roman" w:hAnsi="Calibri" w:cs="Times New Roman"/>
                <w:b/>
                <w:bCs/>
                <w:lang w:eastAsia="fr-FR"/>
              </w:rPr>
            </w:pPr>
            <w:r w:rsidRPr="00126984">
              <w:rPr>
                <w:rFonts w:ascii="Calibri" w:eastAsia="Times New Roman" w:hAnsi="Calibri" w:cs="Times New Roman"/>
                <w:b/>
                <w:bCs/>
                <w:lang w:eastAsia="fr-FR"/>
              </w:rPr>
              <w:t>Ingestion</w:t>
            </w:r>
          </w:p>
        </w:tc>
        <w:tc>
          <w:tcPr>
            <w:tcW w:w="8221" w:type="dxa"/>
            <w:shd w:val="clear" w:color="auto" w:fill="auto"/>
            <w:vAlign w:val="center"/>
            <w:hideMark/>
          </w:tcPr>
          <w:p w:rsid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Consulter un médecin. Rincer abondamment la bouche à l'eau. Boire beaucoup d'eau. Ne pas faire vomir.</w:t>
            </w:r>
          </w:p>
          <w:p w:rsidR="00126984" w:rsidRPr="00126984" w:rsidRDefault="00126984" w:rsidP="00126984">
            <w:pPr>
              <w:spacing w:after="0" w:line="240" w:lineRule="auto"/>
              <w:rPr>
                <w:rFonts w:ascii="Calibri" w:eastAsia="Times New Roman" w:hAnsi="Calibri" w:cs="Times New Roman"/>
                <w:color w:val="000000"/>
                <w:lang w:eastAsia="fr-FR"/>
              </w:rPr>
            </w:pPr>
          </w:p>
        </w:tc>
      </w:tr>
      <w:tr w:rsidR="00126984" w:rsidRPr="00126984" w:rsidTr="00126984">
        <w:trPr>
          <w:trHeight w:val="690"/>
        </w:trPr>
        <w:tc>
          <w:tcPr>
            <w:tcW w:w="2122" w:type="dxa"/>
            <w:shd w:val="clear" w:color="auto" w:fill="auto"/>
            <w:hideMark/>
          </w:tcPr>
          <w:p w:rsidR="00126984" w:rsidRPr="00126984" w:rsidRDefault="00126984" w:rsidP="00126984">
            <w:pPr>
              <w:spacing w:after="0" w:line="240" w:lineRule="auto"/>
              <w:rPr>
                <w:rFonts w:ascii="Calibri" w:eastAsia="Times New Roman" w:hAnsi="Calibri" w:cs="Times New Roman"/>
                <w:b/>
                <w:bCs/>
                <w:lang w:eastAsia="fr-FR"/>
              </w:rPr>
            </w:pPr>
            <w:r w:rsidRPr="00126984">
              <w:rPr>
                <w:rFonts w:ascii="Calibri" w:eastAsia="Times New Roman" w:hAnsi="Calibri" w:cs="Times New Roman"/>
                <w:b/>
                <w:bCs/>
                <w:lang w:eastAsia="fr-FR"/>
              </w:rPr>
              <w:t>Contact avec la peau</w:t>
            </w:r>
          </w:p>
        </w:tc>
        <w:tc>
          <w:tcPr>
            <w:tcW w:w="8221" w:type="dxa"/>
            <w:shd w:val="clear" w:color="auto" w:fill="auto"/>
            <w:vAlign w:val="center"/>
            <w:hideMark/>
          </w:tcPr>
          <w:p w:rsid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Laver abondamment à l'eau et au savon durant au moins 15 minutes. Enlever immédiatement les vêtements souillés. Consulter un médecin si l'irritation persiste.</w:t>
            </w:r>
          </w:p>
          <w:p w:rsidR="00126984" w:rsidRPr="00126984" w:rsidRDefault="00126984" w:rsidP="00126984">
            <w:pPr>
              <w:spacing w:after="0" w:line="240" w:lineRule="auto"/>
              <w:rPr>
                <w:rFonts w:ascii="Calibri" w:eastAsia="Times New Roman" w:hAnsi="Calibri" w:cs="Times New Roman"/>
                <w:color w:val="000000"/>
                <w:lang w:eastAsia="fr-FR"/>
              </w:rPr>
            </w:pPr>
          </w:p>
        </w:tc>
      </w:tr>
      <w:tr w:rsidR="00126984" w:rsidRPr="00126984" w:rsidTr="00126984">
        <w:trPr>
          <w:trHeight w:val="675"/>
        </w:trPr>
        <w:tc>
          <w:tcPr>
            <w:tcW w:w="2122" w:type="dxa"/>
            <w:shd w:val="clear" w:color="auto" w:fill="auto"/>
            <w:hideMark/>
          </w:tcPr>
          <w:p w:rsidR="00126984" w:rsidRPr="00126984" w:rsidRDefault="00126984" w:rsidP="00126984">
            <w:pPr>
              <w:spacing w:after="0" w:line="240" w:lineRule="auto"/>
              <w:rPr>
                <w:rFonts w:ascii="Calibri" w:eastAsia="Times New Roman" w:hAnsi="Calibri" w:cs="Times New Roman"/>
                <w:b/>
                <w:bCs/>
                <w:lang w:eastAsia="fr-FR"/>
              </w:rPr>
            </w:pPr>
            <w:r w:rsidRPr="00126984">
              <w:rPr>
                <w:rFonts w:ascii="Calibri" w:eastAsia="Times New Roman" w:hAnsi="Calibri" w:cs="Times New Roman"/>
                <w:b/>
                <w:bCs/>
                <w:lang w:eastAsia="fr-FR"/>
              </w:rPr>
              <w:t>Contact avec les yeux</w:t>
            </w:r>
          </w:p>
        </w:tc>
        <w:tc>
          <w:tcPr>
            <w:tcW w:w="8221" w:type="dxa"/>
            <w:shd w:val="clear" w:color="auto" w:fill="auto"/>
            <w:vAlign w:val="center"/>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Laver abondamment à l'eau durant au moins 15 minutes, en soulevant les paupières supérieures et inférieures. Retirer les lentilles de contact si vous en portez. Consulter un médecin si l'irritation persiste.</w:t>
            </w:r>
          </w:p>
        </w:tc>
      </w:tr>
    </w:tbl>
    <w:p w:rsidR="00013B72" w:rsidRPr="00161119" w:rsidRDefault="00013B72" w:rsidP="00161119">
      <w:pPr>
        <w:spacing w:after="0"/>
        <w:ind w:left="360"/>
        <w:jc w:val="both"/>
        <w:rPr>
          <w:rFonts w:ascii="Calibri" w:eastAsia="Times New Roman" w:hAnsi="Calibri" w:cs="Times New Roman"/>
          <w:b/>
          <w:bCs/>
          <w:color w:val="000000"/>
          <w:lang w:eastAsia="fr-FR"/>
        </w:rPr>
      </w:pPr>
    </w:p>
    <w:p w:rsidR="00C71C66" w:rsidRDefault="00C71C66"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b/>
          <w:bCs/>
          <w:color w:val="000000"/>
          <w:lang w:eastAsia="fr-FR"/>
        </w:rPr>
        <w:t>4.2. Principaux symptômes et effets, aigus et différés</w:t>
      </w:r>
    </w:p>
    <w:tbl>
      <w:tblPr>
        <w:tblW w:w="9918" w:type="dxa"/>
        <w:tblCellMar>
          <w:left w:w="70" w:type="dxa"/>
          <w:right w:w="70" w:type="dxa"/>
        </w:tblCellMar>
        <w:tblLook w:val="04A0" w:firstRow="1" w:lastRow="0" w:firstColumn="1" w:lastColumn="0" w:noHBand="0" w:noVBand="1"/>
      </w:tblPr>
      <w:tblGrid>
        <w:gridCol w:w="1271"/>
        <w:gridCol w:w="8647"/>
      </w:tblGrid>
      <w:tr w:rsidR="00126984" w:rsidRPr="00126984" w:rsidTr="00126984">
        <w:trPr>
          <w:trHeight w:val="375"/>
        </w:trPr>
        <w:tc>
          <w:tcPr>
            <w:tcW w:w="1271" w:type="dxa"/>
            <w:shd w:val="clear" w:color="auto" w:fill="auto"/>
            <w:hideMark/>
          </w:tcPr>
          <w:p w:rsidR="00126984" w:rsidRPr="00126984" w:rsidRDefault="00126984" w:rsidP="00126984">
            <w:pPr>
              <w:spacing w:after="0" w:line="240" w:lineRule="auto"/>
              <w:rPr>
                <w:rFonts w:ascii="Calibri" w:eastAsia="Times New Roman" w:hAnsi="Calibri" w:cs="Times New Roman"/>
                <w:b/>
                <w:bCs/>
                <w:lang w:eastAsia="fr-FR"/>
              </w:rPr>
            </w:pPr>
            <w:r w:rsidRPr="00126984">
              <w:rPr>
                <w:rFonts w:ascii="Calibri" w:eastAsia="Times New Roman" w:hAnsi="Calibri" w:cs="Times New Roman"/>
                <w:b/>
                <w:bCs/>
                <w:lang w:eastAsia="fr-FR"/>
              </w:rPr>
              <w:t>Peau</w:t>
            </w:r>
          </w:p>
        </w:tc>
        <w:tc>
          <w:tcPr>
            <w:tcW w:w="8647" w:type="dxa"/>
            <w:shd w:val="clear" w:color="auto" w:fill="auto"/>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Le contact prolongé peut causer des irritations</w:t>
            </w:r>
          </w:p>
        </w:tc>
      </w:tr>
      <w:tr w:rsidR="00126984" w:rsidRPr="00126984" w:rsidTr="00126984">
        <w:trPr>
          <w:trHeight w:val="375"/>
        </w:trPr>
        <w:tc>
          <w:tcPr>
            <w:tcW w:w="1271" w:type="dxa"/>
            <w:shd w:val="clear" w:color="auto" w:fill="auto"/>
            <w:hideMark/>
          </w:tcPr>
          <w:p w:rsidR="00126984" w:rsidRPr="00126984" w:rsidRDefault="00126984" w:rsidP="00126984">
            <w:pPr>
              <w:spacing w:after="0" w:line="240" w:lineRule="auto"/>
              <w:rPr>
                <w:rFonts w:ascii="Calibri" w:eastAsia="Times New Roman" w:hAnsi="Calibri" w:cs="Times New Roman"/>
                <w:b/>
                <w:bCs/>
                <w:lang w:eastAsia="fr-FR"/>
              </w:rPr>
            </w:pPr>
            <w:proofErr w:type="gramStart"/>
            <w:r w:rsidRPr="00126984">
              <w:rPr>
                <w:rFonts w:ascii="Calibri" w:eastAsia="Times New Roman" w:hAnsi="Calibri" w:cs="Times New Roman"/>
                <w:b/>
                <w:bCs/>
                <w:lang w:eastAsia="fr-FR"/>
              </w:rPr>
              <w:t>yeux</w:t>
            </w:r>
            <w:proofErr w:type="gramEnd"/>
          </w:p>
        </w:tc>
        <w:tc>
          <w:tcPr>
            <w:tcW w:w="8647" w:type="dxa"/>
            <w:shd w:val="clear" w:color="auto" w:fill="auto"/>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Il peut provoquer des rougeurs et une conjonctivite</w:t>
            </w:r>
          </w:p>
        </w:tc>
      </w:tr>
      <w:tr w:rsidR="00126984" w:rsidRPr="00126984" w:rsidTr="00126984">
        <w:trPr>
          <w:trHeight w:val="375"/>
        </w:trPr>
        <w:tc>
          <w:tcPr>
            <w:tcW w:w="1271" w:type="dxa"/>
            <w:shd w:val="clear" w:color="auto" w:fill="auto"/>
            <w:hideMark/>
          </w:tcPr>
          <w:p w:rsidR="00126984" w:rsidRPr="00126984" w:rsidRDefault="00126984" w:rsidP="00126984">
            <w:pPr>
              <w:spacing w:after="0" w:line="240" w:lineRule="auto"/>
              <w:rPr>
                <w:rFonts w:ascii="Calibri" w:eastAsia="Times New Roman" w:hAnsi="Calibri" w:cs="Times New Roman"/>
                <w:b/>
                <w:bCs/>
                <w:lang w:eastAsia="fr-FR"/>
              </w:rPr>
            </w:pPr>
            <w:r w:rsidRPr="00126984">
              <w:rPr>
                <w:rFonts w:ascii="Calibri" w:eastAsia="Times New Roman" w:hAnsi="Calibri" w:cs="Times New Roman"/>
                <w:b/>
                <w:bCs/>
                <w:lang w:eastAsia="fr-FR"/>
              </w:rPr>
              <w:t>Ingestion</w:t>
            </w:r>
          </w:p>
        </w:tc>
        <w:tc>
          <w:tcPr>
            <w:tcW w:w="8647" w:type="dxa"/>
            <w:shd w:val="clear" w:color="auto" w:fill="auto"/>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Il peut provoquer des maux au niveau gastro-intestinal, des nausées, des vomissements et des diarrhées.</w:t>
            </w:r>
          </w:p>
        </w:tc>
      </w:tr>
      <w:tr w:rsidR="00126984" w:rsidRPr="00126984" w:rsidTr="00126984">
        <w:trPr>
          <w:trHeight w:val="675"/>
        </w:trPr>
        <w:tc>
          <w:tcPr>
            <w:tcW w:w="1271" w:type="dxa"/>
            <w:shd w:val="clear" w:color="auto" w:fill="auto"/>
            <w:hideMark/>
          </w:tcPr>
          <w:p w:rsidR="00126984" w:rsidRPr="00126984" w:rsidRDefault="00126984" w:rsidP="00126984">
            <w:pPr>
              <w:spacing w:after="0" w:line="240" w:lineRule="auto"/>
              <w:rPr>
                <w:rFonts w:ascii="Calibri" w:eastAsia="Times New Roman" w:hAnsi="Calibri" w:cs="Times New Roman"/>
                <w:b/>
                <w:bCs/>
                <w:lang w:eastAsia="fr-FR"/>
              </w:rPr>
            </w:pPr>
            <w:r w:rsidRPr="00126984">
              <w:rPr>
                <w:rFonts w:ascii="Calibri" w:eastAsia="Times New Roman" w:hAnsi="Calibri" w:cs="Times New Roman"/>
                <w:b/>
                <w:bCs/>
                <w:lang w:eastAsia="fr-FR"/>
              </w:rPr>
              <w:t>Inhalation</w:t>
            </w:r>
          </w:p>
        </w:tc>
        <w:tc>
          <w:tcPr>
            <w:tcW w:w="8647" w:type="dxa"/>
            <w:shd w:val="clear" w:color="auto" w:fill="auto"/>
            <w:hideMark/>
          </w:tcPr>
          <w:p w:rsidR="00126984" w:rsidRPr="00126984" w:rsidRDefault="00126984" w:rsidP="00126984">
            <w:pPr>
              <w:spacing w:after="0" w:line="240" w:lineRule="auto"/>
              <w:rPr>
                <w:rFonts w:ascii="Calibri" w:eastAsia="Times New Roman" w:hAnsi="Calibri" w:cs="Times New Roman"/>
                <w:color w:val="000000"/>
                <w:lang w:eastAsia="fr-FR"/>
              </w:rPr>
            </w:pPr>
            <w:r w:rsidRPr="00126984">
              <w:rPr>
                <w:rFonts w:ascii="Calibri" w:eastAsia="Times New Roman" w:hAnsi="Calibri" w:cs="Times New Roman"/>
                <w:color w:val="000000"/>
                <w:lang w:eastAsia="fr-FR"/>
              </w:rPr>
              <w:t>Il peut provoquer des maux au niveau gastro-intestinal, des nausées, des vomissements et des diarrhées</w:t>
            </w:r>
            <w:r w:rsidRPr="00126984">
              <w:rPr>
                <w:rFonts w:ascii="Calibri" w:eastAsia="Times New Roman" w:hAnsi="Calibri" w:cs="Times New Roman"/>
                <w:color w:val="000000"/>
                <w:lang w:eastAsia="fr-FR"/>
              </w:rPr>
              <w:br/>
              <w:t>Vertiges, somnolence ou irritation respiratoire.</w:t>
            </w:r>
          </w:p>
        </w:tc>
      </w:tr>
    </w:tbl>
    <w:p w:rsidR="00C71C66" w:rsidRDefault="00C71C66" w:rsidP="00331B6C">
      <w:pPr>
        <w:tabs>
          <w:tab w:val="left" w:pos="7760"/>
        </w:tabs>
        <w:spacing w:after="0"/>
        <w:jc w:val="both"/>
      </w:pPr>
    </w:p>
    <w:p w:rsidR="002919DF" w:rsidRDefault="002919DF" w:rsidP="00331B6C">
      <w:pPr>
        <w:tabs>
          <w:tab w:val="left" w:pos="7760"/>
        </w:tabs>
        <w:spacing w:after="0"/>
        <w:jc w:val="both"/>
      </w:pPr>
    </w:p>
    <w:p w:rsidR="00C71C66" w:rsidRDefault="00C71C66"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lastRenderedPageBreak/>
        <w:t>4.3. Indication des éventuels soins médicaux immédiats et traitements particuliers nécessaires</w:t>
      </w:r>
    </w:p>
    <w:p w:rsidR="006F0F3F" w:rsidRDefault="002919DF" w:rsidP="00331B6C">
      <w:pPr>
        <w:spacing w:after="0"/>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La décomposition thermique ou les incendies peuvent produire des oxydes de phosphore et de soufre, lesquels quand sont inhalés provoquent une irritation et des effets corrosifs dans le système respiratoire.</w:t>
      </w:r>
    </w:p>
    <w:p w:rsidR="002919DF" w:rsidRDefault="002919DF" w:rsidP="00331B6C">
      <w:pPr>
        <w:spacing w:after="0"/>
        <w:jc w:val="both"/>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C71C66" w:rsidRPr="004672F2" w:rsidTr="004167AD">
        <w:trPr>
          <w:trHeight w:val="300"/>
        </w:trPr>
        <w:tc>
          <w:tcPr>
            <w:tcW w:w="9781" w:type="dxa"/>
            <w:shd w:val="clear" w:color="000000" w:fill="D9D9D9" w:themeFill="background1" w:themeFillShade="D9"/>
            <w:vAlign w:val="bottom"/>
            <w:hideMark/>
          </w:tcPr>
          <w:p w:rsidR="00C71C66" w:rsidRPr="004672F2" w:rsidRDefault="00C71C66"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5 : Mesures de lutte contre l'incendie</w:t>
            </w:r>
          </w:p>
        </w:tc>
      </w:tr>
    </w:tbl>
    <w:p w:rsidR="00C71C66" w:rsidRDefault="00C71C66" w:rsidP="00331B6C">
      <w:pPr>
        <w:spacing w:after="0"/>
        <w:jc w:val="both"/>
      </w:pPr>
    </w:p>
    <w:p w:rsidR="00C71C66" w:rsidRDefault="00C71C66"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5.1. Moyens d'extinction</w:t>
      </w:r>
    </w:p>
    <w:p w:rsidR="002919DF" w:rsidRDefault="002919DF" w:rsidP="00331B6C">
      <w:pPr>
        <w:spacing w:after="0"/>
        <w:jc w:val="both"/>
        <w:rPr>
          <w:rFonts w:ascii="Calibri" w:eastAsia="Times New Roman" w:hAnsi="Calibri" w:cs="Times New Roman"/>
          <w:color w:val="000000"/>
          <w:lang w:eastAsia="fr-FR"/>
        </w:rPr>
      </w:pPr>
      <w:r w:rsidRPr="002919DF">
        <w:rPr>
          <w:rFonts w:ascii="Calibri" w:eastAsia="Times New Roman" w:hAnsi="Calibri" w:cs="Times New Roman"/>
          <w:bCs/>
          <w:lang w:eastAsia="fr-FR"/>
        </w:rPr>
        <w:t>Moyen d'extinction approprié</w:t>
      </w:r>
      <w:r>
        <w:rPr>
          <w:rFonts w:ascii="Calibri" w:eastAsia="Times New Roman" w:hAnsi="Calibri" w:cs="Times New Roman"/>
          <w:b/>
          <w:bCs/>
          <w:lang w:eastAsia="fr-FR"/>
        </w:rPr>
        <w:t xml:space="preserve"> : </w:t>
      </w:r>
      <w:r w:rsidRPr="002919DF">
        <w:rPr>
          <w:rFonts w:ascii="Calibri" w:eastAsia="Times New Roman" w:hAnsi="Calibri" w:cs="Times New Roman"/>
          <w:color w:val="000000"/>
          <w:lang w:eastAsia="fr-FR"/>
        </w:rPr>
        <w:t>Utiliser un média d'extinction propre aux conditions. (Eau pulvérisée, mousse, poudre d'extinction)</w:t>
      </w:r>
      <w:r>
        <w:rPr>
          <w:rFonts w:ascii="Calibri" w:eastAsia="Times New Roman" w:hAnsi="Calibri" w:cs="Times New Roman"/>
          <w:color w:val="000000"/>
          <w:lang w:eastAsia="fr-FR"/>
        </w:rPr>
        <w:t>.</w:t>
      </w:r>
    </w:p>
    <w:p w:rsidR="002919DF" w:rsidRDefault="002919DF" w:rsidP="002919DF">
      <w:pPr>
        <w:spacing w:after="0"/>
        <w:jc w:val="both"/>
        <w:rPr>
          <w:rFonts w:ascii="Calibri" w:eastAsia="Times New Roman" w:hAnsi="Calibri" w:cs="Times New Roman"/>
          <w:color w:val="000000"/>
          <w:lang w:eastAsia="fr-FR"/>
        </w:rPr>
      </w:pPr>
      <w:r w:rsidRPr="002919DF">
        <w:rPr>
          <w:rFonts w:ascii="Calibri" w:eastAsia="Times New Roman" w:hAnsi="Calibri" w:cs="Times New Roman"/>
          <w:bCs/>
          <w:lang w:eastAsia="fr-FR"/>
        </w:rPr>
        <w:t>Moyen d'extinction à ne pas utiliser pour des</w:t>
      </w:r>
      <w:r w:rsidRPr="002919DF">
        <w:rPr>
          <w:rFonts w:ascii="Calibri" w:eastAsia="Times New Roman" w:hAnsi="Calibri" w:cs="Times New Roman"/>
          <w:bCs/>
          <w:lang w:eastAsia="fr-FR"/>
        </w:rPr>
        <w:t xml:space="preserve"> </w:t>
      </w:r>
      <w:r w:rsidRPr="002919DF">
        <w:rPr>
          <w:rFonts w:ascii="Calibri" w:eastAsia="Times New Roman" w:hAnsi="Calibri" w:cs="Times New Roman"/>
          <w:bCs/>
          <w:lang w:eastAsia="fr-FR"/>
        </w:rPr>
        <w:t>raisons de sécurité</w:t>
      </w:r>
      <w:r>
        <w:rPr>
          <w:rFonts w:ascii="Calibri" w:eastAsia="Times New Roman" w:hAnsi="Calibri" w:cs="Times New Roman"/>
          <w:b/>
          <w:bCs/>
          <w:lang w:eastAsia="fr-FR"/>
        </w:rPr>
        <w:t xml:space="preserve"> : </w:t>
      </w:r>
      <w:r w:rsidRPr="002919DF">
        <w:rPr>
          <w:rFonts w:ascii="Calibri" w:eastAsia="Times New Roman" w:hAnsi="Calibri" w:cs="Times New Roman"/>
          <w:color w:val="000000"/>
          <w:lang w:eastAsia="fr-FR"/>
        </w:rPr>
        <w:t>Ne connait pas les moyens appropriés.</w:t>
      </w:r>
    </w:p>
    <w:p w:rsidR="002919DF" w:rsidRDefault="002919DF" w:rsidP="00331B6C">
      <w:pPr>
        <w:spacing w:after="0"/>
        <w:jc w:val="both"/>
        <w:rPr>
          <w:rFonts w:ascii="Calibri" w:eastAsia="Times New Roman" w:hAnsi="Calibri" w:cs="Times New Roman"/>
          <w:color w:val="000000"/>
          <w:lang w:eastAsia="fr-FR"/>
        </w:rPr>
      </w:pPr>
    </w:p>
    <w:p w:rsidR="00C71C66" w:rsidRPr="00161119" w:rsidRDefault="00C71C66"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b/>
          <w:bCs/>
          <w:color w:val="000000"/>
          <w:lang w:eastAsia="fr-FR"/>
        </w:rPr>
        <w:t>5.2. Dangers particuliers résultant de la substance ou du mélange</w:t>
      </w:r>
    </w:p>
    <w:p w:rsidR="00272157" w:rsidRDefault="002919DF" w:rsidP="00331B6C">
      <w:pPr>
        <w:spacing w:after="0"/>
        <w:jc w:val="both"/>
      </w:pPr>
      <w:r w:rsidRPr="002919DF">
        <w:t xml:space="preserve">Non inflammable. Par température de 235°C peut être libéré de l'ammoniac. Peut former </w:t>
      </w:r>
      <w:proofErr w:type="spellStart"/>
      <w:r w:rsidRPr="002919DF">
        <w:t>trichloride</w:t>
      </w:r>
      <w:proofErr w:type="spellEnd"/>
      <w:r w:rsidRPr="002919DF">
        <w:t xml:space="preserve"> de l'azote qui explose spontanément dans l'air si mélangé avec chlore ou hypochlorites.</w:t>
      </w:r>
    </w:p>
    <w:p w:rsidR="002919DF" w:rsidRDefault="002919DF" w:rsidP="00331B6C">
      <w:pPr>
        <w:spacing w:after="0"/>
        <w:jc w:val="both"/>
      </w:pPr>
    </w:p>
    <w:p w:rsidR="00C71C66" w:rsidRDefault="00C71C66"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5.3. Conseils aux pompiers</w:t>
      </w:r>
    </w:p>
    <w:p w:rsidR="00BD1D5C" w:rsidRDefault="002919DF" w:rsidP="002919DF">
      <w:pPr>
        <w:spacing w:after="0"/>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Méthodes spécifiques pendant la lutte contre</w:t>
      </w:r>
      <w:r>
        <w:rPr>
          <w:rFonts w:ascii="Calibri" w:eastAsia="Times New Roman" w:hAnsi="Calibri" w:cs="Times New Roman"/>
          <w:color w:val="000000"/>
          <w:lang w:eastAsia="fr-FR"/>
        </w:rPr>
        <w:t xml:space="preserve"> </w:t>
      </w:r>
      <w:r w:rsidRPr="002919DF">
        <w:rPr>
          <w:rFonts w:ascii="Calibri" w:eastAsia="Times New Roman" w:hAnsi="Calibri" w:cs="Times New Roman"/>
          <w:color w:val="000000"/>
          <w:lang w:eastAsia="fr-FR"/>
        </w:rPr>
        <w:t>l'incendie</w:t>
      </w:r>
      <w:r>
        <w:rPr>
          <w:rFonts w:ascii="Calibri" w:eastAsia="Times New Roman" w:hAnsi="Calibri" w:cs="Times New Roman"/>
          <w:color w:val="000000"/>
          <w:lang w:eastAsia="fr-FR"/>
        </w:rPr>
        <w:t xml:space="preserve"> : </w:t>
      </w:r>
      <w:r w:rsidRPr="002919DF">
        <w:rPr>
          <w:rFonts w:ascii="Calibri" w:eastAsia="Times New Roman" w:hAnsi="Calibri" w:cs="Times New Roman"/>
          <w:color w:val="000000"/>
          <w:lang w:eastAsia="fr-FR"/>
        </w:rPr>
        <w:t>Ne requiert pas des mesures spéciales. Ne pas respirer les fumées. Ouvrir les fenêtres et les portes pour une meilleure respiration.</w:t>
      </w:r>
    </w:p>
    <w:p w:rsidR="002919DF" w:rsidRDefault="002919DF" w:rsidP="002919DF">
      <w:pPr>
        <w:spacing w:after="0"/>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Équipement de protection spécial pour le</w:t>
      </w:r>
      <w:r>
        <w:rPr>
          <w:rFonts w:ascii="Calibri" w:eastAsia="Times New Roman" w:hAnsi="Calibri" w:cs="Times New Roman"/>
          <w:color w:val="000000"/>
          <w:lang w:eastAsia="fr-FR"/>
        </w:rPr>
        <w:t xml:space="preserve"> </w:t>
      </w:r>
      <w:r w:rsidRPr="002919DF">
        <w:rPr>
          <w:rFonts w:ascii="Calibri" w:eastAsia="Times New Roman" w:hAnsi="Calibri" w:cs="Times New Roman"/>
          <w:color w:val="000000"/>
          <w:lang w:eastAsia="fr-FR"/>
        </w:rPr>
        <w:t>personnel préposé à la lutte contre le feu</w:t>
      </w:r>
      <w:r>
        <w:rPr>
          <w:rFonts w:ascii="Calibri" w:eastAsia="Times New Roman" w:hAnsi="Calibri" w:cs="Times New Roman"/>
          <w:color w:val="000000"/>
          <w:lang w:eastAsia="fr-FR"/>
        </w:rPr>
        <w:t xml:space="preserve"> : </w:t>
      </w:r>
      <w:r w:rsidRPr="002919DF">
        <w:rPr>
          <w:rFonts w:ascii="Calibri" w:eastAsia="Times New Roman" w:hAnsi="Calibri" w:cs="Times New Roman"/>
          <w:color w:val="000000"/>
          <w:lang w:eastAsia="fr-FR"/>
        </w:rPr>
        <w:t>Équipement de respiration autonome et des vêtements appropriés.</w:t>
      </w:r>
    </w:p>
    <w:p w:rsidR="002919DF" w:rsidRDefault="002919DF" w:rsidP="00331B6C">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C71C66" w:rsidRPr="004672F2" w:rsidTr="004167AD">
        <w:trPr>
          <w:trHeight w:val="300"/>
        </w:trPr>
        <w:tc>
          <w:tcPr>
            <w:tcW w:w="9781" w:type="dxa"/>
            <w:shd w:val="clear" w:color="000000" w:fill="D9D9D9" w:themeFill="background1" w:themeFillShade="D9"/>
            <w:vAlign w:val="bottom"/>
            <w:hideMark/>
          </w:tcPr>
          <w:p w:rsidR="00C71C66" w:rsidRPr="004672F2" w:rsidRDefault="00C71C66"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6 : Mesures à prendre en cas de dispersion accidentelle</w:t>
            </w:r>
          </w:p>
        </w:tc>
      </w:tr>
    </w:tbl>
    <w:p w:rsidR="00C71C66" w:rsidRDefault="00C71C66" w:rsidP="00331B6C">
      <w:pPr>
        <w:spacing w:after="0"/>
        <w:jc w:val="both"/>
        <w:rPr>
          <w:rFonts w:ascii="Calibri" w:eastAsia="Times New Roman" w:hAnsi="Calibri" w:cs="Times New Roman"/>
          <w:color w:val="000000"/>
          <w:lang w:eastAsia="fr-FR"/>
        </w:rPr>
      </w:pPr>
    </w:p>
    <w:p w:rsidR="00C71C66" w:rsidRDefault="00C71C66" w:rsidP="00331B6C">
      <w:pPr>
        <w:spacing w:after="0"/>
        <w:jc w:val="both"/>
      </w:pPr>
      <w:r w:rsidRPr="004672F2">
        <w:rPr>
          <w:rFonts w:ascii="Calibri" w:eastAsia="Times New Roman" w:hAnsi="Calibri" w:cs="Times New Roman"/>
          <w:b/>
          <w:bCs/>
          <w:color w:val="000000"/>
          <w:lang w:eastAsia="fr-FR"/>
        </w:rPr>
        <w:t>6.1. Précautions individuelles, équipements de protection et procédures d'urgence</w:t>
      </w:r>
    </w:p>
    <w:p w:rsidR="00162BAE" w:rsidRDefault="002919DF" w:rsidP="00331B6C">
      <w:pPr>
        <w:spacing w:after="0"/>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Bonnes pratiques d'hygiène</w:t>
      </w:r>
      <w:r>
        <w:rPr>
          <w:rFonts w:ascii="Calibri" w:eastAsia="Times New Roman" w:hAnsi="Calibri" w:cs="Times New Roman"/>
          <w:color w:val="000000"/>
          <w:lang w:eastAsia="fr-FR"/>
        </w:rPr>
        <w:t>.</w:t>
      </w:r>
    </w:p>
    <w:p w:rsidR="002919DF" w:rsidRDefault="002919DF" w:rsidP="00331B6C">
      <w:pPr>
        <w:spacing w:after="0"/>
        <w:jc w:val="both"/>
      </w:pPr>
    </w:p>
    <w:p w:rsidR="00C71C66" w:rsidRDefault="00C71C66"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6.2. Précautions pour la protection de l'environnement</w:t>
      </w:r>
    </w:p>
    <w:p w:rsidR="002919DF" w:rsidRPr="002919DF" w:rsidRDefault="002919DF" w:rsidP="002919DF">
      <w:pPr>
        <w:spacing w:after="0"/>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Utilisez les quantités par hectare indiquées sur l'étiquette ou l'emballage.</w:t>
      </w:r>
    </w:p>
    <w:p w:rsidR="00C71C66" w:rsidRDefault="002919DF" w:rsidP="002919DF">
      <w:pPr>
        <w:spacing w:after="0"/>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Empêcher le produit d'arriver dans le système d'eau et d'égout. Si vous ne pouvez pas l'éviter et que le produit atteigne les égouts, informer les autorités compétentes de l'endroit et le moment où l'incident s'est produit.</w:t>
      </w:r>
    </w:p>
    <w:p w:rsidR="002919DF" w:rsidRDefault="002919DF" w:rsidP="002919DF">
      <w:pPr>
        <w:spacing w:after="0"/>
        <w:jc w:val="both"/>
        <w:rPr>
          <w:rFonts w:ascii="Calibri" w:eastAsia="Times New Roman" w:hAnsi="Calibri" w:cs="Times New Roman"/>
          <w:color w:val="000000"/>
          <w:lang w:eastAsia="fr-FR"/>
        </w:rPr>
      </w:pPr>
    </w:p>
    <w:p w:rsidR="00C71C66" w:rsidRPr="00C71C66" w:rsidRDefault="00C71C66" w:rsidP="00331B6C">
      <w:pPr>
        <w:spacing w:after="0"/>
        <w:jc w:val="both"/>
        <w:rPr>
          <w:rFonts w:ascii="Calibri" w:eastAsia="Times New Roman" w:hAnsi="Calibri" w:cs="Times New Roman"/>
          <w:b/>
          <w:color w:val="000000"/>
          <w:lang w:eastAsia="fr-FR"/>
        </w:rPr>
      </w:pPr>
      <w:r w:rsidRPr="004672F2">
        <w:rPr>
          <w:rFonts w:ascii="Calibri" w:eastAsia="Times New Roman" w:hAnsi="Calibri" w:cs="Times New Roman"/>
          <w:b/>
          <w:color w:val="000000"/>
          <w:lang w:eastAsia="fr-FR"/>
        </w:rPr>
        <w:t>6.3. Méthodes et matériel de confinement et de nettoyage</w:t>
      </w:r>
    </w:p>
    <w:p w:rsidR="0054093E" w:rsidRDefault="002919DF" w:rsidP="00331B6C">
      <w:pPr>
        <w:spacing w:after="0"/>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Ramasser le produit par une méthode mécanique.</w:t>
      </w:r>
    </w:p>
    <w:p w:rsidR="002919DF" w:rsidRDefault="002919DF" w:rsidP="00331B6C">
      <w:pPr>
        <w:spacing w:after="0"/>
        <w:jc w:val="both"/>
        <w:rPr>
          <w:rFonts w:ascii="Calibri" w:eastAsia="Times New Roman" w:hAnsi="Calibri" w:cs="Times New Roman"/>
          <w:b/>
          <w:bCs/>
          <w:color w:val="000000"/>
          <w:lang w:eastAsia="fr-FR"/>
        </w:rPr>
      </w:pPr>
    </w:p>
    <w:p w:rsidR="006F0F3F" w:rsidRDefault="006F0F3F" w:rsidP="00331B6C">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C71C66" w:rsidRPr="004672F2" w:rsidTr="004167AD">
        <w:trPr>
          <w:trHeight w:val="300"/>
        </w:trPr>
        <w:tc>
          <w:tcPr>
            <w:tcW w:w="9781" w:type="dxa"/>
            <w:shd w:val="clear" w:color="000000" w:fill="D9D9D9" w:themeFill="background1" w:themeFillShade="D9"/>
            <w:vAlign w:val="bottom"/>
            <w:hideMark/>
          </w:tcPr>
          <w:p w:rsidR="00C71C66" w:rsidRPr="004672F2" w:rsidRDefault="00C71C66"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7 : Manipulation et stockage</w:t>
            </w:r>
          </w:p>
        </w:tc>
      </w:tr>
    </w:tbl>
    <w:p w:rsidR="00C71C66" w:rsidRDefault="00C71C66" w:rsidP="00331B6C">
      <w:pPr>
        <w:spacing w:after="0"/>
        <w:jc w:val="both"/>
        <w:rPr>
          <w:rFonts w:ascii="Calibri" w:eastAsia="Times New Roman" w:hAnsi="Calibri" w:cs="Times New Roman"/>
          <w:color w:val="000000"/>
          <w:lang w:eastAsia="fr-FR"/>
        </w:rPr>
      </w:pPr>
    </w:p>
    <w:p w:rsidR="00C71C66" w:rsidRDefault="00C71C66"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7.1. Précautions à prendre pour une manipulation sans danger</w:t>
      </w:r>
    </w:p>
    <w:p w:rsidR="00DE0DA6" w:rsidRPr="00DE0DA6" w:rsidRDefault="002919DF" w:rsidP="00DE0DA6">
      <w:pPr>
        <w:spacing w:after="0" w:line="240" w:lineRule="auto"/>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 xml:space="preserve">Éviter le contact avec la peau, les yeux et les vêtements. Éviter la formation de poussière. Nettoyer les équipements avant de sa manipulation. Ne pas manger, boire ou fumer dans les lieux de travail. Laver les mains après son usage. </w:t>
      </w:r>
    </w:p>
    <w:p w:rsidR="002919DF" w:rsidRDefault="002919DF" w:rsidP="00331B6C">
      <w:pPr>
        <w:spacing w:after="0"/>
        <w:jc w:val="both"/>
        <w:rPr>
          <w:rFonts w:ascii="Calibri" w:eastAsia="Times New Roman" w:hAnsi="Calibri" w:cs="Times New Roman"/>
          <w:b/>
          <w:bCs/>
          <w:color w:val="000000"/>
          <w:lang w:eastAsia="fr-FR"/>
        </w:rPr>
      </w:pPr>
    </w:p>
    <w:p w:rsidR="00C71C66" w:rsidRDefault="00C71C66"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b/>
          <w:bCs/>
          <w:color w:val="000000"/>
          <w:lang w:eastAsia="fr-FR"/>
        </w:rPr>
        <w:lastRenderedPageBreak/>
        <w:t>7.2. Conditions d'un stockage sûr, y compris d'éventuelles incompatibilités</w:t>
      </w:r>
    </w:p>
    <w:p w:rsidR="002919DF" w:rsidRPr="002919DF" w:rsidRDefault="002919DF" w:rsidP="002919DF">
      <w:pPr>
        <w:spacing w:after="0" w:line="240" w:lineRule="auto"/>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Il est recommandé que le produit soit stocké sous abri, sec et bien ventilé. Les conteneurs doivent rester hermétiquement fermé.</w:t>
      </w:r>
    </w:p>
    <w:p w:rsidR="00DE0DA6" w:rsidRDefault="002919DF" w:rsidP="002919DF">
      <w:pPr>
        <w:spacing w:after="0" w:line="240" w:lineRule="auto"/>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Entreposer le produit dans des endroits uniquement prévu à ce produit. Conserver à l'écart de toute source de chaleur ou des sources d'inflammation.</w:t>
      </w:r>
    </w:p>
    <w:p w:rsidR="002919DF" w:rsidRDefault="002919DF" w:rsidP="002919DF">
      <w:pPr>
        <w:spacing w:after="0" w:line="240" w:lineRule="auto"/>
        <w:jc w:val="both"/>
        <w:rPr>
          <w:rFonts w:ascii="Calibri" w:eastAsia="Times New Roman" w:hAnsi="Calibri" w:cs="Times New Roman"/>
          <w:color w:val="000000"/>
          <w:lang w:eastAsia="fr-FR"/>
        </w:rPr>
      </w:pPr>
    </w:p>
    <w:p w:rsidR="001E5ADB" w:rsidRDefault="001E5ADB"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7.3. Utilisation(s) finale(s) particulière(s)</w:t>
      </w:r>
    </w:p>
    <w:p w:rsidR="00DE0DA6" w:rsidRDefault="002919DF" w:rsidP="00331B6C">
      <w:pPr>
        <w:spacing w:after="0"/>
        <w:jc w:val="both"/>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Agricole et industriel</w:t>
      </w:r>
    </w:p>
    <w:p w:rsidR="002919DF" w:rsidRDefault="002919DF" w:rsidP="00331B6C">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1E5ADB" w:rsidRPr="004672F2" w:rsidTr="004167AD">
        <w:trPr>
          <w:trHeight w:val="300"/>
        </w:trPr>
        <w:tc>
          <w:tcPr>
            <w:tcW w:w="9781" w:type="dxa"/>
            <w:shd w:val="clear" w:color="000000" w:fill="D9D9D9" w:themeFill="background1" w:themeFillShade="D9"/>
            <w:vAlign w:val="bottom"/>
            <w:hideMark/>
          </w:tcPr>
          <w:p w:rsidR="001E5ADB" w:rsidRPr="004672F2" w:rsidRDefault="001E5ADB"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8 : Contrôles de l'exposition/protection individuelle</w:t>
            </w:r>
          </w:p>
        </w:tc>
      </w:tr>
    </w:tbl>
    <w:p w:rsidR="001E5ADB" w:rsidRDefault="001E5ADB" w:rsidP="00331B6C">
      <w:pPr>
        <w:spacing w:after="0"/>
        <w:jc w:val="both"/>
        <w:rPr>
          <w:rFonts w:ascii="Calibri" w:eastAsia="Times New Roman" w:hAnsi="Calibri" w:cs="Times New Roman"/>
          <w:color w:val="000000"/>
          <w:lang w:eastAsia="fr-FR"/>
        </w:rPr>
      </w:pPr>
    </w:p>
    <w:p w:rsidR="001E5ADB" w:rsidRDefault="001E5ADB"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b/>
          <w:bCs/>
          <w:color w:val="000000"/>
          <w:lang w:eastAsia="fr-FR"/>
        </w:rPr>
        <w:t>8.1. Paramètres de contrôle</w:t>
      </w:r>
    </w:p>
    <w:p w:rsidR="002919DF" w:rsidRPr="002919DF" w:rsidRDefault="002919DF" w:rsidP="002919DF">
      <w:pPr>
        <w:spacing w:after="0" w:line="240" w:lineRule="auto"/>
        <w:jc w:val="both"/>
        <w:rPr>
          <w:rFonts w:ascii="Calibri" w:eastAsia="Times New Roman" w:hAnsi="Calibri" w:cs="Times New Roman"/>
          <w:b/>
          <w:bCs/>
          <w:lang w:eastAsia="fr-FR"/>
        </w:rPr>
      </w:pPr>
      <w:r w:rsidRPr="002919DF">
        <w:rPr>
          <w:rFonts w:ascii="Calibri" w:eastAsia="Times New Roman" w:hAnsi="Calibri" w:cs="Times New Roman"/>
          <w:b/>
          <w:bCs/>
          <w:lang w:eastAsia="fr-FR"/>
        </w:rPr>
        <w:t>Limite d'exposition professionnelle (VLE)</w:t>
      </w:r>
    </w:p>
    <w:tbl>
      <w:tblPr>
        <w:tblW w:w="6804" w:type="dxa"/>
        <w:tblCellMar>
          <w:left w:w="70" w:type="dxa"/>
          <w:right w:w="70" w:type="dxa"/>
        </w:tblCellMar>
        <w:tblLook w:val="04A0" w:firstRow="1" w:lastRow="0" w:firstColumn="1" w:lastColumn="0" w:noHBand="0" w:noVBand="1"/>
      </w:tblPr>
      <w:tblGrid>
        <w:gridCol w:w="1134"/>
        <w:gridCol w:w="5670"/>
      </w:tblGrid>
      <w:tr w:rsidR="002919DF" w:rsidRPr="002919DF" w:rsidTr="002919DF">
        <w:trPr>
          <w:trHeight w:val="330"/>
        </w:trPr>
        <w:tc>
          <w:tcPr>
            <w:tcW w:w="1134" w:type="dxa"/>
            <w:tcBorders>
              <w:top w:val="nil"/>
              <w:left w:val="nil"/>
              <w:bottom w:val="nil"/>
              <w:right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lang w:eastAsia="fr-FR"/>
              </w:rPr>
            </w:pPr>
            <w:r w:rsidRPr="002919DF">
              <w:rPr>
                <w:rFonts w:ascii="Calibri" w:eastAsia="Times New Roman" w:hAnsi="Calibri" w:cs="Times New Roman"/>
                <w:b/>
                <w:bCs/>
                <w:lang w:eastAsia="fr-FR"/>
              </w:rPr>
              <w:t>SSP</w:t>
            </w:r>
          </w:p>
        </w:tc>
        <w:tc>
          <w:tcPr>
            <w:tcW w:w="5670" w:type="dxa"/>
            <w:tcBorders>
              <w:left w:val="nil"/>
              <w:bottom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lang w:eastAsia="fr-FR"/>
              </w:rPr>
            </w:pPr>
            <w:r w:rsidRPr="002919DF">
              <w:rPr>
                <w:rFonts w:ascii="Calibri" w:eastAsia="Times New Roman" w:hAnsi="Calibri" w:cs="Times New Roman"/>
                <w:lang w:eastAsia="fr-FR"/>
              </w:rPr>
              <w:t>Aucune donnée</w:t>
            </w:r>
          </w:p>
        </w:tc>
      </w:tr>
    </w:tbl>
    <w:p w:rsidR="002919DF" w:rsidRPr="002919DF" w:rsidRDefault="002919DF" w:rsidP="002919DF">
      <w:pPr>
        <w:spacing w:after="0" w:line="240" w:lineRule="auto"/>
        <w:jc w:val="both"/>
        <w:rPr>
          <w:rFonts w:ascii="Calibri" w:eastAsia="Times New Roman" w:hAnsi="Calibri" w:cs="Times New Roman"/>
          <w:b/>
          <w:bCs/>
          <w:lang w:eastAsia="fr-FR"/>
        </w:rPr>
      </w:pPr>
      <w:r w:rsidRPr="002919DF">
        <w:rPr>
          <w:rFonts w:ascii="Calibri" w:eastAsia="Times New Roman" w:hAnsi="Calibri" w:cs="Times New Roman"/>
          <w:b/>
          <w:bCs/>
          <w:lang w:eastAsia="fr-FR"/>
        </w:rPr>
        <w:t>Dose dérivée avec effet (DNEL)</w:t>
      </w:r>
    </w:p>
    <w:p w:rsidR="002919DF" w:rsidRPr="002919DF" w:rsidRDefault="002919DF" w:rsidP="002919DF">
      <w:pPr>
        <w:spacing w:after="0" w:line="240" w:lineRule="auto"/>
        <w:jc w:val="both"/>
        <w:rPr>
          <w:rFonts w:ascii="Calibri" w:eastAsia="Times New Roman" w:hAnsi="Calibri" w:cs="Times New Roman"/>
          <w:b/>
          <w:bCs/>
          <w:u w:val="single"/>
          <w:lang w:eastAsia="fr-FR"/>
        </w:rPr>
      </w:pPr>
      <w:r w:rsidRPr="002919DF">
        <w:rPr>
          <w:rFonts w:ascii="Calibri" w:eastAsia="Times New Roman" w:hAnsi="Calibri" w:cs="Times New Roman"/>
          <w:b/>
          <w:bCs/>
          <w:u w:val="single"/>
          <w:lang w:eastAsia="fr-FR"/>
        </w:rPr>
        <w:t>Opérateurs</w:t>
      </w:r>
    </w:p>
    <w:tbl>
      <w:tblPr>
        <w:tblW w:w="8931" w:type="dxa"/>
        <w:tblCellMar>
          <w:left w:w="70" w:type="dxa"/>
          <w:right w:w="70" w:type="dxa"/>
        </w:tblCellMar>
        <w:tblLook w:val="04A0" w:firstRow="1" w:lastRow="0" w:firstColumn="1" w:lastColumn="0" w:noHBand="0" w:noVBand="1"/>
      </w:tblPr>
      <w:tblGrid>
        <w:gridCol w:w="2380"/>
        <w:gridCol w:w="6551"/>
      </w:tblGrid>
      <w:tr w:rsidR="002919DF" w:rsidRPr="002919DF" w:rsidTr="002919DF">
        <w:trPr>
          <w:trHeight w:val="330"/>
        </w:trPr>
        <w:tc>
          <w:tcPr>
            <w:tcW w:w="2380" w:type="dxa"/>
            <w:tcBorders>
              <w:top w:val="nil"/>
              <w:left w:val="nil"/>
              <w:bottom w:val="nil"/>
              <w:right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lang w:eastAsia="fr-FR"/>
              </w:rPr>
            </w:pPr>
            <w:r w:rsidRPr="002919DF">
              <w:rPr>
                <w:rFonts w:ascii="Calibri" w:eastAsia="Times New Roman" w:hAnsi="Calibri" w:cs="Times New Roman"/>
                <w:b/>
                <w:bCs/>
                <w:lang w:eastAsia="fr-FR"/>
              </w:rPr>
              <w:t>SSP</w:t>
            </w:r>
          </w:p>
        </w:tc>
        <w:tc>
          <w:tcPr>
            <w:tcW w:w="6551" w:type="dxa"/>
            <w:tcBorders>
              <w:top w:val="nil"/>
              <w:left w:val="nil"/>
              <w:bottom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lang w:eastAsia="fr-FR"/>
              </w:rPr>
            </w:pPr>
            <w:r w:rsidRPr="002919DF">
              <w:rPr>
                <w:rFonts w:ascii="Calibri" w:eastAsia="Times New Roman" w:hAnsi="Calibri" w:cs="Times New Roman"/>
                <w:lang w:eastAsia="fr-FR"/>
              </w:rPr>
              <w:t>3,1 mg/m3 par inhalation et 17,4mg/kg p.c./jour cutanée</w:t>
            </w:r>
          </w:p>
        </w:tc>
      </w:tr>
    </w:tbl>
    <w:p w:rsidR="002919DF" w:rsidRPr="002919DF" w:rsidRDefault="002919DF" w:rsidP="002919DF">
      <w:pPr>
        <w:spacing w:after="0" w:line="240" w:lineRule="auto"/>
        <w:jc w:val="both"/>
        <w:rPr>
          <w:rFonts w:ascii="Calibri" w:eastAsia="Times New Roman" w:hAnsi="Calibri" w:cs="Times New Roman"/>
          <w:b/>
          <w:bCs/>
          <w:u w:val="single"/>
          <w:lang w:eastAsia="fr-FR"/>
        </w:rPr>
      </w:pPr>
      <w:r w:rsidRPr="002919DF">
        <w:rPr>
          <w:rFonts w:ascii="Calibri" w:eastAsia="Times New Roman" w:hAnsi="Calibri" w:cs="Times New Roman"/>
          <w:b/>
          <w:bCs/>
          <w:u w:val="single"/>
          <w:lang w:eastAsia="fr-FR"/>
        </w:rPr>
        <w:t>Consommateurs</w:t>
      </w:r>
    </w:p>
    <w:tbl>
      <w:tblPr>
        <w:tblW w:w="8931" w:type="dxa"/>
        <w:tblCellMar>
          <w:left w:w="70" w:type="dxa"/>
          <w:right w:w="70" w:type="dxa"/>
        </w:tblCellMar>
        <w:tblLook w:val="04A0" w:firstRow="1" w:lastRow="0" w:firstColumn="1" w:lastColumn="0" w:noHBand="0" w:noVBand="1"/>
      </w:tblPr>
      <w:tblGrid>
        <w:gridCol w:w="2380"/>
        <w:gridCol w:w="6551"/>
      </w:tblGrid>
      <w:tr w:rsidR="002919DF" w:rsidRPr="002919DF" w:rsidTr="002919DF">
        <w:trPr>
          <w:trHeight w:val="330"/>
        </w:trPr>
        <w:tc>
          <w:tcPr>
            <w:tcW w:w="2380" w:type="dxa"/>
            <w:tcBorders>
              <w:top w:val="nil"/>
              <w:left w:val="nil"/>
              <w:bottom w:val="nil"/>
              <w:right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lang w:eastAsia="fr-FR"/>
              </w:rPr>
            </w:pPr>
            <w:r w:rsidRPr="002919DF">
              <w:rPr>
                <w:rFonts w:ascii="Calibri" w:eastAsia="Times New Roman" w:hAnsi="Calibri" w:cs="Times New Roman"/>
                <w:b/>
                <w:bCs/>
                <w:lang w:eastAsia="fr-FR"/>
              </w:rPr>
              <w:t>SSP</w:t>
            </w:r>
          </w:p>
        </w:tc>
        <w:tc>
          <w:tcPr>
            <w:tcW w:w="6551" w:type="dxa"/>
            <w:tcBorders>
              <w:top w:val="nil"/>
              <w:left w:val="nil"/>
              <w:bottom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lang w:eastAsia="fr-FR"/>
              </w:rPr>
            </w:pPr>
            <w:r w:rsidRPr="002919DF">
              <w:rPr>
                <w:rFonts w:ascii="Calibri" w:eastAsia="Times New Roman" w:hAnsi="Calibri" w:cs="Times New Roman"/>
                <w:lang w:eastAsia="fr-FR"/>
              </w:rPr>
              <w:t>0,9 mg/m3 par inhalation et 10,4mg/kg p.c./jour cutanée</w:t>
            </w:r>
          </w:p>
        </w:tc>
      </w:tr>
    </w:tbl>
    <w:p w:rsidR="002919DF" w:rsidRPr="002919DF" w:rsidRDefault="002919DF" w:rsidP="002919DF">
      <w:pPr>
        <w:spacing w:after="0" w:line="240" w:lineRule="auto"/>
        <w:jc w:val="both"/>
        <w:rPr>
          <w:rFonts w:ascii="Calibri" w:eastAsia="Times New Roman" w:hAnsi="Calibri" w:cs="Times New Roman"/>
          <w:b/>
          <w:bCs/>
          <w:lang w:eastAsia="fr-FR"/>
        </w:rPr>
      </w:pPr>
      <w:r w:rsidRPr="002919DF">
        <w:rPr>
          <w:rFonts w:ascii="Calibri" w:eastAsia="Times New Roman" w:hAnsi="Calibri" w:cs="Times New Roman"/>
          <w:b/>
          <w:bCs/>
          <w:lang w:eastAsia="fr-FR"/>
        </w:rPr>
        <w:t>Concentration prédite avec effet (PNEC)</w:t>
      </w:r>
    </w:p>
    <w:tbl>
      <w:tblPr>
        <w:tblW w:w="9498" w:type="dxa"/>
        <w:tblCellMar>
          <w:left w:w="70" w:type="dxa"/>
          <w:right w:w="70" w:type="dxa"/>
        </w:tblCellMar>
        <w:tblLook w:val="04A0" w:firstRow="1" w:lastRow="0" w:firstColumn="1" w:lastColumn="0" w:noHBand="0" w:noVBand="1"/>
      </w:tblPr>
      <w:tblGrid>
        <w:gridCol w:w="2380"/>
        <w:gridCol w:w="7118"/>
      </w:tblGrid>
      <w:tr w:rsidR="002919DF" w:rsidRPr="002919DF" w:rsidTr="002919DF">
        <w:trPr>
          <w:trHeight w:val="330"/>
        </w:trPr>
        <w:tc>
          <w:tcPr>
            <w:tcW w:w="2380" w:type="dxa"/>
            <w:tcBorders>
              <w:top w:val="nil"/>
              <w:left w:val="nil"/>
              <w:bottom w:val="nil"/>
              <w:right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lang w:eastAsia="fr-FR"/>
              </w:rPr>
            </w:pPr>
            <w:r w:rsidRPr="002919DF">
              <w:rPr>
                <w:rFonts w:ascii="Calibri" w:eastAsia="Times New Roman" w:hAnsi="Calibri" w:cs="Times New Roman"/>
                <w:b/>
                <w:bCs/>
                <w:lang w:eastAsia="fr-FR"/>
              </w:rPr>
              <w:t>SSP</w:t>
            </w:r>
          </w:p>
        </w:tc>
        <w:tc>
          <w:tcPr>
            <w:tcW w:w="7118" w:type="dxa"/>
            <w:tcBorders>
              <w:top w:val="nil"/>
              <w:left w:val="nil"/>
              <w:bottom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lang w:eastAsia="fr-FR"/>
              </w:rPr>
            </w:pPr>
            <w:r w:rsidRPr="002919DF">
              <w:rPr>
                <w:rFonts w:ascii="Calibri" w:eastAsia="Times New Roman" w:hAnsi="Calibri" w:cs="Times New Roman"/>
                <w:lang w:eastAsia="fr-FR"/>
              </w:rPr>
              <w:t>Eau douce : 1,7 mg/L ; Eau de mer : 0,17 mg/L</w:t>
            </w:r>
          </w:p>
        </w:tc>
      </w:tr>
    </w:tbl>
    <w:p w:rsidR="005A5A4A" w:rsidRDefault="005A5A4A" w:rsidP="00331B6C">
      <w:pPr>
        <w:spacing w:after="0"/>
        <w:jc w:val="both"/>
        <w:rPr>
          <w:rFonts w:ascii="Calibri" w:eastAsia="Times New Roman" w:hAnsi="Calibri" w:cs="Times New Roman"/>
          <w:color w:val="000000"/>
          <w:lang w:eastAsia="fr-FR"/>
        </w:rPr>
      </w:pPr>
    </w:p>
    <w:p w:rsidR="001E5ADB" w:rsidRDefault="001E5ADB"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8.2. Contrôles de l'exposition</w:t>
      </w:r>
    </w:p>
    <w:p w:rsidR="00A557F8" w:rsidRDefault="00A557F8" w:rsidP="00331B6C">
      <w:pPr>
        <w:spacing w:after="0"/>
        <w:jc w:val="both"/>
        <w:rPr>
          <w:rFonts w:ascii="Calibri" w:eastAsia="Times New Roman" w:hAnsi="Calibri" w:cs="Times New Roman"/>
          <w:color w:val="000000"/>
          <w:lang w:eastAsia="fr-FR"/>
        </w:rPr>
      </w:pPr>
      <w:r w:rsidRPr="00A557F8">
        <w:rPr>
          <w:rFonts w:ascii="Calibri" w:eastAsia="Times New Roman" w:hAnsi="Calibri" w:cs="Times New Roman"/>
          <w:b/>
          <w:color w:val="000000"/>
          <w:lang w:eastAsia="fr-FR"/>
        </w:rPr>
        <w:t>Contrôles de l'exposition</w:t>
      </w:r>
      <w:r>
        <w:rPr>
          <w:rFonts w:ascii="Calibri" w:eastAsia="Times New Roman" w:hAnsi="Calibri" w:cs="Times New Roman"/>
          <w:color w:val="000000"/>
          <w:lang w:eastAsia="fr-FR"/>
        </w:rPr>
        <w:t xml:space="preserve"> : </w:t>
      </w:r>
      <w:r w:rsidRPr="00A557F8">
        <w:rPr>
          <w:rFonts w:ascii="Calibri" w:eastAsia="Times New Roman" w:hAnsi="Calibri" w:cs="Times New Roman"/>
          <w:color w:val="000000"/>
          <w:lang w:eastAsia="fr-FR"/>
        </w:rPr>
        <w:t>Favoriser une ventilation optimale. Si les manipulations de l'utilisateur provoquent de la poussière, des fumées, des gaz, des vapeurs ou du brouillard, utiliser des enceintes fermées, une ventilation par aspiration à la source, ou d'autres systèmes de contrôle automatique intégrés afin de maintenir le seuil d'exposition du technicien aux contaminants en suspension dans l'air inférieur aux limites recommandées ou légales</w:t>
      </w:r>
    </w:p>
    <w:p w:rsidR="00A557F8" w:rsidRDefault="00A557F8" w:rsidP="00331B6C">
      <w:pPr>
        <w:spacing w:after="0"/>
        <w:jc w:val="both"/>
        <w:rPr>
          <w:rFonts w:ascii="Calibri" w:eastAsia="Times New Roman" w:hAnsi="Calibri" w:cs="Times New Roman"/>
          <w:color w:val="000000"/>
          <w:lang w:eastAsia="fr-FR"/>
        </w:rPr>
      </w:pPr>
      <w:r w:rsidRPr="00A557F8">
        <w:rPr>
          <w:rFonts w:ascii="Calibri" w:eastAsia="Times New Roman" w:hAnsi="Calibri" w:cs="Times New Roman"/>
          <w:b/>
          <w:color w:val="000000"/>
          <w:lang w:eastAsia="fr-FR"/>
        </w:rPr>
        <w:t>Mesure d'hygiène</w:t>
      </w:r>
      <w:r>
        <w:rPr>
          <w:rFonts w:ascii="Calibri" w:eastAsia="Times New Roman" w:hAnsi="Calibri" w:cs="Times New Roman"/>
          <w:color w:val="000000"/>
          <w:lang w:eastAsia="fr-FR"/>
        </w:rPr>
        <w:t xml:space="preserve"> : </w:t>
      </w:r>
      <w:r w:rsidRPr="00A557F8">
        <w:rPr>
          <w:rFonts w:ascii="Calibri" w:eastAsia="Times New Roman" w:hAnsi="Calibri" w:cs="Times New Roman"/>
          <w:color w:val="000000"/>
          <w:lang w:eastAsia="fr-FR"/>
        </w:rPr>
        <w:t>Solide faiblement pulvérulent. Si de la poussière est générée et si la ventilation n'est pas appropriée, utiliser un appareil de protection respiratoire contre la poussière ou le brouillard. Se laver les mains soigneusement après manipulation.</w:t>
      </w:r>
    </w:p>
    <w:tbl>
      <w:tblPr>
        <w:tblW w:w="14280" w:type="dxa"/>
        <w:tblCellMar>
          <w:left w:w="70" w:type="dxa"/>
          <w:right w:w="70" w:type="dxa"/>
        </w:tblCellMar>
        <w:tblLook w:val="04A0" w:firstRow="1" w:lastRow="0" w:firstColumn="1" w:lastColumn="0" w:noHBand="0" w:noVBand="1"/>
      </w:tblPr>
      <w:tblGrid>
        <w:gridCol w:w="1030"/>
        <w:gridCol w:w="1517"/>
        <w:gridCol w:w="7229"/>
        <w:gridCol w:w="4504"/>
      </w:tblGrid>
      <w:tr w:rsidR="002919DF" w:rsidRPr="002919DF" w:rsidTr="00A557F8">
        <w:trPr>
          <w:trHeight w:val="33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lang w:eastAsia="fr-FR"/>
              </w:rPr>
            </w:pPr>
            <w:r w:rsidRPr="002919DF">
              <w:rPr>
                <w:rFonts w:ascii="Calibri" w:eastAsia="Times New Roman" w:hAnsi="Calibri" w:cs="Times New Roman"/>
                <w:b/>
                <w:bCs/>
                <w:lang w:eastAsia="fr-FR"/>
              </w:rPr>
              <w:t>Protection individuelle</w:t>
            </w:r>
          </w:p>
        </w:tc>
        <w:tc>
          <w:tcPr>
            <w:tcW w:w="11733" w:type="dxa"/>
            <w:gridSpan w:val="2"/>
            <w:tcBorders>
              <w:lef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 </w:t>
            </w:r>
          </w:p>
        </w:tc>
      </w:tr>
      <w:tr w:rsidR="00A557F8" w:rsidRPr="002919DF" w:rsidTr="00A557F8">
        <w:trPr>
          <w:gridAfter w:val="1"/>
          <w:wAfter w:w="4504" w:type="dxa"/>
          <w:trHeight w:val="1335"/>
        </w:trPr>
        <w:tc>
          <w:tcPr>
            <w:tcW w:w="1030" w:type="dxa"/>
            <w:tcBorders>
              <w:top w:val="nil"/>
              <w:left w:val="single" w:sz="4" w:space="0" w:color="auto"/>
              <w:bottom w:val="nil"/>
              <w:righ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color w:val="000000"/>
                <w:lang w:eastAsia="fr-FR"/>
              </w:rPr>
            </w:pPr>
            <w:r w:rsidRPr="002919DF">
              <w:rPr>
                <w:rFonts w:ascii="Calibri" w:eastAsia="Times New Roman" w:hAnsi="Calibri" w:cs="Times New Roman"/>
                <w:b/>
                <w:bCs/>
                <w:color w:val="000000"/>
                <w:lang w:eastAsia="fr-FR"/>
              </w:rPr>
              <w:t> </w:t>
            </w:r>
          </w:p>
        </w:tc>
        <w:tc>
          <w:tcPr>
            <w:tcW w:w="1517" w:type="dxa"/>
            <w:tcBorders>
              <w:top w:val="single" w:sz="4" w:space="0" w:color="auto"/>
              <w:left w:val="single" w:sz="4" w:space="0" w:color="auto"/>
              <w:bottom w:val="single" w:sz="4" w:space="0" w:color="auto"/>
              <w:right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lang w:eastAsia="fr-FR"/>
              </w:rPr>
            </w:pPr>
            <w:r w:rsidRPr="002919DF">
              <w:rPr>
                <w:rFonts w:ascii="Calibri" w:eastAsia="Times New Roman" w:hAnsi="Calibri" w:cs="Times New Roman"/>
                <w:b/>
                <w:bCs/>
                <w:lang w:eastAsia="fr-FR"/>
              </w:rPr>
              <w:t>Yeux / visage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Utiliser une protection oculaire conforme à une norme EN 166 dès lors qu'une évaluation du risque indique qu'il est nécessaire d'éviter l'exposition aux projections de liquides, aux fines particules pulvérisées, aux gaz ou aux poussières. Si les conditions de fonctionnement entraînent de fortes concentrations de poussières, utiliser un masque à poussières.</w:t>
            </w:r>
          </w:p>
        </w:tc>
      </w:tr>
      <w:tr w:rsidR="00A557F8" w:rsidRPr="002919DF" w:rsidTr="00A557F8">
        <w:trPr>
          <w:gridAfter w:val="1"/>
          <w:wAfter w:w="4504" w:type="dxa"/>
          <w:trHeight w:val="705"/>
        </w:trPr>
        <w:tc>
          <w:tcPr>
            <w:tcW w:w="1030" w:type="dxa"/>
            <w:tcBorders>
              <w:top w:val="nil"/>
              <w:left w:val="single" w:sz="4" w:space="0" w:color="auto"/>
              <w:bottom w:val="nil"/>
              <w:righ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color w:val="000000"/>
                <w:lang w:eastAsia="fr-FR"/>
              </w:rPr>
            </w:pPr>
            <w:r w:rsidRPr="002919DF">
              <w:rPr>
                <w:rFonts w:ascii="Calibri" w:eastAsia="Times New Roman" w:hAnsi="Calibri" w:cs="Times New Roman"/>
                <w:b/>
                <w:bCs/>
                <w:color w:val="000000"/>
                <w:lang w:eastAsia="fr-FR"/>
              </w:rPr>
              <w:t> </w:t>
            </w:r>
          </w:p>
        </w:tc>
        <w:tc>
          <w:tcPr>
            <w:tcW w:w="1517" w:type="dxa"/>
            <w:tcBorders>
              <w:top w:val="single" w:sz="4" w:space="0" w:color="auto"/>
              <w:left w:val="single" w:sz="4" w:space="0" w:color="auto"/>
              <w:bottom w:val="single" w:sz="4" w:space="0" w:color="auto"/>
              <w:right w:val="nil"/>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lang w:eastAsia="fr-FR"/>
              </w:rPr>
            </w:pPr>
            <w:r w:rsidRPr="002919DF">
              <w:rPr>
                <w:rFonts w:ascii="Calibri" w:eastAsia="Times New Roman" w:hAnsi="Calibri" w:cs="Times New Roman"/>
                <w:b/>
                <w:bCs/>
                <w:lang w:eastAsia="fr-FR"/>
              </w:rPr>
              <w:t>Peau et corps</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 xml:space="preserve">Vêtements de protection et des gants résistant aux produits chimiques conforme à la norme NF EN </w:t>
            </w:r>
            <w:proofErr w:type="gramStart"/>
            <w:r w:rsidRPr="002919DF">
              <w:rPr>
                <w:rFonts w:ascii="Calibri" w:eastAsia="Times New Roman" w:hAnsi="Calibri" w:cs="Times New Roman"/>
                <w:color w:val="000000"/>
                <w:lang w:eastAsia="fr-FR"/>
              </w:rPr>
              <w:t xml:space="preserve">420,   </w:t>
            </w:r>
            <w:proofErr w:type="gramEnd"/>
            <w:r w:rsidRPr="002919DF">
              <w:rPr>
                <w:rFonts w:ascii="Calibri" w:eastAsia="Times New Roman" w:hAnsi="Calibri" w:cs="Times New Roman"/>
                <w:color w:val="000000"/>
                <w:lang w:eastAsia="fr-FR"/>
              </w:rPr>
              <w:t xml:space="preserve">  NF EN 374-1, NF EN 374-2 et NF EN 374-3</w:t>
            </w:r>
          </w:p>
        </w:tc>
      </w:tr>
      <w:tr w:rsidR="00A557F8" w:rsidRPr="002919DF" w:rsidTr="00A557F8">
        <w:trPr>
          <w:gridAfter w:val="1"/>
          <w:wAfter w:w="4504" w:type="dxa"/>
          <w:trHeight w:val="660"/>
        </w:trPr>
        <w:tc>
          <w:tcPr>
            <w:tcW w:w="1030" w:type="dxa"/>
            <w:tcBorders>
              <w:top w:val="nil"/>
              <w:left w:val="single" w:sz="4" w:space="0" w:color="auto"/>
              <w:bottom w:val="single" w:sz="4" w:space="0" w:color="auto"/>
              <w:righ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color w:val="000000"/>
                <w:lang w:eastAsia="fr-FR"/>
              </w:rPr>
            </w:pPr>
            <w:r w:rsidRPr="002919DF">
              <w:rPr>
                <w:rFonts w:ascii="Calibri" w:eastAsia="Times New Roman" w:hAnsi="Calibri" w:cs="Times New Roman"/>
                <w:b/>
                <w:bCs/>
                <w:color w:val="000000"/>
                <w:lang w:eastAsia="fr-FR"/>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b/>
                <w:bCs/>
                <w:lang w:eastAsia="fr-FR"/>
              </w:rPr>
            </w:pPr>
            <w:r w:rsidRPr="002919DF">
              <w:rPr>
                <w:rFonts w:ascii="Calibri" w:eastAsia="Times New Roman" w:hAnsi="Calibri" w:cs="Times New Roman"/>
                <w:b/>
                <w:bCs/>
                <w:lang w:eastAsia="fr-FR"/>
              </w:rPr>
              <w:t>Respiratoire</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rsidR="002919DF" w:rsidRPr="002919DF" w:rsidRDefault="002919DF" w:rsidP="002919DF">
            <w:pPr>
              <w:spacing w:after="0" w:line="240" w:lineRule="auto"/>
              <w:rPr>
                <w:rFonts w:ascii="Calibri" w:eastAsia="Times New Roman" w:hAnsi="Calibri" w:cs="Times New Roman"/>
                <w:color w:val="000000"/>
                <w:lang w:eastAsia="fr-FR"/>
              </w:rPr>
            </w:pPr>
            <w:r w:rsidRPr="002919DF">
              <w:rPr>
                <w:rFonts w:ascii="Calibri" w:eastAsia="Times New Roman" w:hAnsi="Calibri" w:cs="Times New Roman"/>
                <w:color w:val="000000"/>
                <w:lang w:eastAsia="fr-FR"/>
              </w:rPr>
              <w:t>Protection respiratoire en cas de formation d'aérosols/de poussière inhalables. Filtre à particules de faible capacité de rétention pour particules solide (par exemple : EN 143 ou 149, type P1 ou FFP)</w:t>
            </w:r>
          </w:p>
        </w:tc>
      </w:tr>
    </w:tbl>
    <w:p w:rsidR="007B2CA9" w:rsidRDefault="007B2CA9" w:rsidP="00DE0DA6">
      <w:pPr>
        <w:spacing w:after="0" w:line="240" w:lineRule="auto"/>
        <w:jc w:val="both"/>
        <w:rPr>
          <w:rFonts w:ascii="Calibri" w:eastAsia="Times New Roman" w:hAnsi="Calibri" w:cs="Times New Roman"/>
          <w:color w:val="000000"/>
          <w:lang w:eastAsia="fr-FR"/>
        </w:rPr>
      </w:pPr>
    </w:p>
    <w:p w:rsidR="00AB5E1E" w:rsidRPr="00DE0DA6" w:rsidRDefault="00AB5E1E" w:rsidP="00DE0DA6">
      <w:pPr>
        <w:spacing w:after="0" w:line="240" w:lineRule="auto"/>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1E5ADB" w:rsidRPr="004672F2" w:rsidTr="004167AD">
        <w:trPr>
          <w:trHeight w:val="300"/>
        </w:trPr>
        <w:tc>
          <w:tcPr>
            <w:tcW w:w="9781" w:type="dxa"/>
            <w:shd w:val="clear" w:color="000000" w:fill="D9D9D9" w:themeFill="background1" w:themeFillShade="D9"/>
            <w:vAlign w:val="bottom"/>
            <w:hideMark/>
          </w:tcPr>
          <w:p w:rsidR="001E5ADB" w:rsidRPr="004672F2" w:rsidRDefault="001E5ADB"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9 : Propriétés physiques et chimiques</w:t>
            </w:r>
          </w:p>
        </w:tc>
      </w:tr>
    </w:tbl>
    <w:p w:rsidR="001E5ADB" w:rsidRDefault="001E5ADB" w:rsidP="00331B6C">
      <w:pPr>
        <w:spacing w:after="0"/>
        <w:jc w:val="both"/>
        <w:rPr>
          <w:rFonts w:ascii="Calibri" w:eastAsia="Times New Roman" w:hAnsi="Calibri" w:cs="Times New Roman"/>
          <w:color w:val="000000"/>
          <w:lang w:eastAsia="fr-FR"/>
        </w:rPr>
      </w:pPr>
    </w:p>
    <w:p w:rsidR="001E5ADB" w:rsidRDefault="001E5ADB"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9.1. Informations sur les propriétés physiques et chimiques essentielles</w:t>
      </w:r>
    </w:p>
    <w:tbl>
      <w:tblPr>
        <w:tblW w:w="14280" w:type="dxa"/>
        <w:tblCellMar>
          <w:left w:w="70" w:type="dxa"/>
          <w:right w:w="70" w:type="dxa"/>
        </w:tblCellMar>
        <w:tblLook w:val="04A0" w:firstRow="1" w:lastRow="0" w:firstColumn="1" w:lastColumn="0" w:noHBand="0" w:noVBand="1"/>
      </w:tblPr>
      <w:tblGrid>
        <w:gridCol w:w="4340"/>
        <w:gridCol w:w="1180"/>
        <w:gridCol w:w="1260"/>
        <w:gridCol w:w="1840"/>
        <w:gridCol w:w="1840"/>
        <w:gridCol w:w="1020"/>
        <w:gridCol w:w="1300"/>
        <w:gridCol w:w="1500"/>
      </w:tblGrid>
      <w:tr w:rsidR="00A557F8" w:rsidRPr="00A557F8" w:rsidTr="00A557F8">
        <w:trPr>
          <w:trHeight w:val="330"/>
        </w:trPr>
        <w:tc>
          <w:tcPr>
            <w:tcW w:w="4340" w:type="dxa"/>
            <w:tcBorders>
              <w:bottom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Aspect</w:t>
            </w:r>
          </w:p>
        </w:tc>
        <w:tc>
          <w:tcPr>
            <w:tcW w:w="9940" w:type="dxa"/>
            <w:gridSpan w:val="7"/>
            <w:tcBorders>
              <w:bottom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Solide</w:t>
            </w:r>
          </w:p>
        </w:tc>
      </w:tr>
      <w:tr w:rsidR="00A557F8" w:rsidRPr="00A557F8" w:rsidTr="00A557F8">
        <w:trPr>
          <w:trHeight w:val="330"/>
        </w:trPr>
        <w:tc>
          <w:tcPr>
            <w:tcW w:w="4340" w:type="dxa"/>
            <w:tcBorders>
              <w:bottom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Couleur</w:t>
            </w:r>
          </w:p>
        </w:tc>
        <w:tc>
          <w:tcPr>
            <w:tcW w:w="9940" w:type="dxa"/>
            <w:gridSpan w:val="7"/>
            <w:tcBorders>
              <w:bottom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De gris clair à gris foncé.</w:t>
            </w:r>
          </w:p>
        </w:tc>
      </w:tr>
      <w:tr w:rsidR="00A557F8" w:rsidRPr="00A557F8" w:rsidTr="00A557F8">
        <w:trPr>
          <w:trHeight w:val="330"/>
        </w:trPr>
        <w:tc>
          <w:tcPr>
            <w:tcW w:w="4340" w:type="dxa"/>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Densité</w:t>
            </w:r>
          </w:p>
        </w:tc>
        <w:tc>
          <w:tcPr>
            <w:tcW w:w="1180" w:type="dxa"/>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1,1</w:t>
            </w:r>
          </w:p>
        </w:tc>
        <w:tc>
          <w:tcPr>
            <w:tcW w:w="1260" w:type="dxa"/>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840" w:type="dxa"/>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40" w:type="dxa"/>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020" w:type="dxa"/>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300" w:type="dxa"/>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500" w:type="dxa"/>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trHeight w:val="330"/>
        </w:trPr>
        <w:tc>
          <w:tcPr>
            <w:tcW w:w="4340" w:type="dxa"/>
            <w:tcBorders>
              <w:bottom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proofErr w:type="gramStart"/>
            <w:r w:rsidRPr="00A557F8">
              <w:rPr>
                <w:rFonts w:ascii="Calibri" w:eastAsia="Times New Roman" w:hAnsi="Calibri" w:cs="Times New Roman"/>
                <w:b/>
                <w:bCs/>
                <w:lang w:eastAsia="fr-FR"/>
              </w:rPr>
              <w:t>pH</w:t>
            </w:r>
            <w:proofErr w:type="gramEnd"/>
          </w:p>
        </w:tc>
        <w:tc>
          <w:tcPr>
            <w:tcW w:w="9940" w:type="dxa"/>
            <w:gridSpan w:val="7"/>
            <w:tcBorders>
              <w:bottom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5 à 7</w:t>
            </w:r>
          </w:p>
        </w:tc>
      </w:tr>
      <w:tr w:rsidR="00A557F8" w:rsidRPr="00A557F8" w:rsidTr="00A557F8">
        <w:trPr>
          <w:trHeight w:val="330"/>
        </w:trPr>
        <w:tc>
          <w:tcPr>
            <w:tcW w:w="4340" w:type="dxa"/>
            <w:tcBorders>
              <w:bottom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Granulométrie</w:t>
            </w:r>
          </w:p>
        </w:tc>
        <w:tc>
          <w:tcPr>
            <w:tcW w:w="9940" w:type="dxa"/>
            <w:gridSpan w:val="7"/>
            <w:tcBorders>
              <w:bottom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95% entre 2,5mm et 5mm</w:t>
            </w:r>
          </w:p>
        </w:tc>
      </w:tr>
      <w:tr w:rsidR="00A557F8" w:rsidRPr="00A557F8" w:rsidTr="00A557F8">
        <w:trPr>
          <w:trHeight w:val="330"/>
        </w:trPr>
        <w:tc>
          <w:tcPr>
            <w:tcW w:w="4340" w:type="dxa"/>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Point/intervalle de fusion</w:t>
            </w:r>
          </w:p>
        </w:tc>
        <w:tc>
          <w:tcPr>
            <w:tcW w:w="9940" w:type="dxa"/>
            <w:gridSpan w:val="7"/>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roofErr w:type="gramStart"/>
            <w:r w:rsidRPr="00A557F8">
              <w:rPr>
                <w:rFonts w:ascii="Calibri" w:eastAsia="Times New Roman" w:hAnsi="Calibri" w:cs="Times New Roman"/>
                <w:lang w:eastAsia="fr-FR"/>
              </w:rPr>
              <w:t>supérieur</w:t>
            </w:r>
            <w:proofErr w:type="gramEnd"/>
            <w:r w:rsidRPr="00A557F8">
              <w:rPr>
                <w:rFonts w:ascii="Calibri" w:eastAsia="Times New Roman" w:hAnsi="Calibri" w:cs="Times New Roman"/>
                <w:lang w:eastAsia="fr-FR"/>
              </w:rPr>
              <w:t xml:space="preserve"> à 110 °C</w:t>
            </w:r>
          </w:p>
        </w:tc>
      </w:tr>
    </w:tbl>
    <w:p w:rsidR="000A6481" w:rsidRDefault="000A6481" w:rsidP="00331B6C">
      <w:pPr>
        <w:spacing w:after="0"/>
        <w:jc w:val="both"/>
        <w:rPr>
          <w:rFonts w:ascii="Calibri" w:eastAsia="Times New Roman" w:hAnsi="Calibri" w:cs="Times New Roman"/>
          <w:color w:val="000000"/>
          <w:lang w:eastAsia="fr-FR"/>
        </w:rPr>
      </w:pPr>
    </w:p>
    <w:p w:rsidR="00F72352" w:rsidRDefault="00F72352" w:rsidP="00331B6C">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1E5ADB" w:rsidRPr="004672F2" w:rsidTr="004167AD">
        <w:trPr>
          <w:trHeight w:val="300"/>
        </w:trPr>
        <w:tc>
          <w:tcPr>
            <w:tcW w:w="9781" w:type="dxa"/>
            <w:shd w:val="clear" w:color="000000" w:fill="D9D9D9" w:themeFill="background1" w:themeFillShade="D9"/>
            <w:vAlign w:val="bottom"/>
            <w:hideMark/>
          </w:tcPr>
          <w:p w:rsidR="001E5ADB" w:rsidRPr="004672F2" w:rsidRDefault="001E5ADB"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10 : Stabilité et réactivité</w:t>
            </w:r>
          </w:p>
        </w:tc>
      </w:tr>
    </w:tbl>
    <w:p w:rsidR="001E5ADB" w:rsidRDefault="001E5ADB" w:rsidP="00331B6C">
      <w:pPr>
        <w:spacing w:after="0"/>
        <w:jc w:val="both"/>
        <w:rPr>
          <w:rFonts w:ascii="Calibri" w:eastAsia="Times New Roman" w:hAnsi="Calibri" w:cs="Times New Roman"/>
          <w:color w:val="000000"/>
          <w:lang w:eastAsia="fr-FR"/>
        </w:rPr>
      </w:pPr>
    </w:p>
    <w:p w:rsidR="001E5ADB" w:rsidRDefault="001E5ADB"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10.1. Réactivité</w:t>
      </w:r>
    </w:p>
    <w:p w:rsidR="000A6481" w:rsidRDefault="00A557F8" w:rsidP="00331B6C">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Aucune donnée d'essai spécifique relative à la réactivité n'est disponible pour ce produit ou ses composants</w:t>
      </w:r>
      <w:r>
        <w:rPr>
          <w:rFonts w:ascii="Calibri" w:eastAsia="Times New Roman" w:hAnsi="Calibri" w:cs="Times New Roman"/>
          <w:color w:val="000000"/>
          <w:lang w:eastAsia="fr-FR"/>
        </w:rPr>
        <w:t>.</w:t>
      </w:r>
    </w:p>
    <w:p w:rsidR="00A557F8" w:rsidRDefault="00A557F8" w:rsidP="00331B6C">
      <w:pPr>
        <w:spacing w:after="0"/>
        <w:jc w:val="both"/>
        <w:rPr>
          <w:rFonts w:ascii="Calibri" w:eastAsia="Times New Roman" w:hAnsi="Calibri" w:cs="Times New Roman"/>
          <w:color w:val="000000"/>
          <w:lang w:eastAsia="fr-FR"/>
        </w:rPr>
      </w:pPr>
    </w:p>
    <w:p w:rsidR="001E5ADB" w:rsidRDefault="001E5ADB"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10.2. Stabilité chimique</w:t>
      </w:r>
    </w:p>
    <w:p w:rsidR="00CA3D6C" w:rsidRDefault="00A557F8" w:rsidP="00331B6C">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Stable dans les conditions normales de stockage et de manipulation.</w:t>
      </w:r>
    </w:p>
    <w:p w:rsidR="007B2CA9" w:rsidRDefault="007B2CA9" w:rsidP="00331B6C">
      <w:pPr>
        <w:spacing w:after="0"/>
        <w:jc w:val="both"/>
        <w:rPr>
          <w:rFonts w:ascii="Calibri" w:eastAsia="Times New Roman" w:hAnsi="Calibri" w:cs="Times New Roman"/>
          <w:color w:val="000000"/>
          <w:lang w:eastAsia="fr-FR"/>
        </w:rPr>
      </w:pPr>
    </w:p>
    <w:p w:rsidR="001E5ADB" w:rsidRDefault="001E5ADB"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10.3. Possibilité de réactions dangereuses</w:t>
      </w:r>
    </w:p>
    <w:p w:rsidR="001E5ADB" w:rsidRDefault="00A557F8" w:rsidP="00331B6C">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Dans des conditions normales de stockage et de d'utilisation, aucune réaction dangereuse ne se produit</w:t>
      </w:r>
      <w:r>
        <w:rPr>
          <w:rFonts w:ascii="Calibri" w:eastAsia="Times New Roman" w:hAnsi="Calibri" w:cs="Times New Roman"/>
          <w:color w:val="000000"/>
          <w:lang w:eastAsia="fr-FR"/>
        </w:rPr>
        <w:t>.</w:t>
      </w:r>
    </w:p>
    <w:p w:rsidR="00A557F8" w:rsidRDefault="00A557F8" w:rsidP="00331B6C">
      <w:pPr>
        <w:spacing w:after="0"/>
        <w:jc w:val="both"/>
        <w:rPr>
          <w:rFonts w:ascii="Calibri" w:eastAsia="Times New Roman" w:hAnsi="Calibri" w:cs="Times New Roman"/>
          <w:b/>
          <w:bCs/>
          <w:color w:val="000000"/>
          <w:lang w:eastAsia="fr-FR"/>
        </w:rPr>
      </w:pPr>
    </w:p>
    <w:p w:rsidR="001E5ADB" w:rsidRDefault="001E5ADB"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b/>
          <w:bCs/>
          <w:color w:val="000000"/>
          <w:lang w:eastAsia="fr-FR"/>
        </w:rPr>
        <w:t>10.4. Conditions à éviter</w:t>
      </w:r>
    </w:p>
    <w:p w:rsidR="001E5ADB" w:rsidRDefault="00A557F8" w:rsidP="00331B6C">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Hygroscopique : Absorbe l'humidité en cas de stockage de longue durée dans un endroit à haute teneur en humidité. Conserver dans un endroit bien ventilé et sec</w:t>
      </w:r>
      <w:r>
        <w:rPr>
          <w:rFonts w:ascii="Calibri" w:eastAsia="Times New Roman" w:hAnsi="Calibri" w:cs="Times New Roman"/>
          <w:color w:val="000000"/>
          <w:lang w:eastAsia="fr-FR"/>
        </w:rPr>
        <w:t>.</w:t>
      </w:r>
    </w:p>
    <w:p w:rsidR="00A557F8" w:rsidRDefault="00A557F8" w:rsidP="00331B6C">
      <w:pPr>
        <w:spacing w:after="0"/>
        <w:jc w:val="both"/>
        <w:rPr>
          <w:rFonts w:ascii="Calibri" w:eastAsia="Times New Roman" w:hAnsi="Calibri" w:cs="Times New Roman"/>
          <w:color w:val="000000"/>
          <w:lang w:eastAsia="fr-FR"/>
        </w:rPr>
      </w:pPr>
    </w:p>
    <w:p w:rsidR="001E5ADB" w:rsidRDefault="001E5ADB"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10.5. Matières incompatibles</w:t>
      </w:r>
    </w:p>
    <w:p w:rsidR="00014262" w:rsidRDefault="00A557F8" w:rsidP="00331B6C">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Eviter tout contact avec des produit acides, alcalins ou comburants</w:t>
      </w:r>
      <w:r>
        <w:rPr>
          <w:rFonts w:ascii="Calibri" w:eastAsia="Times New Roman" w:hAnsi="Calibri" w:cs="Times New Roman"/>
          <w:color w:val="000000"/>
          <w:lang w:eastAsia="fr-FR"/>
        </w:rPr>
        <w:t>.</w:t>
      </w:r>
    </w:p>
    <w:p w:rsidR="00A557F8" w:rsidRDefault="00A557F8" w:rsidP="00331B6C">
      <w:pPr>
        <w:spacing w:after="0"/>
        <w:jc w:val="both"/>
        <w:rPr>
          <w:rFonts w:ascii="Calibri" w:eastAsia="Times New Roman" w:hAnsi="Calibri" w:cs="Times New Roman"/>
          <w:color w:val="000000"/>
          <w:lang w:eastAsia="fr-FR"/>
        </w:rPr>
      </w:pPr>
    </w:p>
    <w:p w:rsidR="00014262" w:rsidRDefault="00014262"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10.6. Produits de décomposition dangereux</w:t>
      </w:r>
    </w:p>
    <w:p w:rsidR="000A6481" w:rsidRDefault="00A557F8" w:rsidP="0020770D">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Pas de produits de décomposition dangereux connus</w:t>
      </w:r>
      <w:r>
        <w:rPr>
          <w:rFonts w:ascii="Calibri" w:eastAsia="Times New Roman" w:hAnsi="Calibri" w:cs="Times New Roman"/>
          <w:color w:val="000000"/>
          <w:lang w:eastAsia="fr-FR"/>
        </w:rPr>
        <w:t>.</w:t>
      </w:r>
    </w:p>
    <w:p w:rsidR="00A557F8" w:rsidRDefault="00A557F8" w:rsidP="0020770D">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20770D" w:rsidRPr="004672F2" w:rsidTr="00161119">
        <w:trPr>
          <w:trHeight w:val="300"/>
        </w:trPr>
        <w:tc>
          <w:tcPr>
            <w:tcW w:w="9781" w:type="dxa"/>
            <w:shd w:val="clear" w:color="000000" w:fill="D9D9D9" w:themeFill="background1" w:themeFillShade="D9"/>
            <w:vAlign w:val="bottom"/>
            <w:hideMark/>
          </w:tcPr>
          <w:p w:rsidR="0020770D" w:rsidRPr="004672F2" w:rsidRDefault="0020770D" w:rsidP="00161119">
            <w:pPr>
              <w:spacing w:after="0" w:line="240" w:lineRule="auto"/>
              <w:jc w:val="both"/>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SECTION 11 : Informations toxicologiques</w:t>
            </w:r>
          </w:p>
        </w:tc>
      </w:tr>
    </w:tbl>
    <w:p w:rsidR="0020770D" w:rsidRDefault="0020770D" w:rsidP="00331B6C">
      <w:pPr>
        <w:spacing w:after="0"/>
        <w:jc w:val="both"/>
        <w:rPr>
          <w:rFonts w:ascii="Calibri" w:eastAsia="Times New Roman" w:hAnsi="Calibri" w:cs="Times New Roman"/>
          <w:color w:val="000000"/>
          <w:lang w:eastAsia="fr-FR"/>
        </w:rPr>
      </w:pPr>
    </w:p>
    <w:p w:rsidR="000F015F" w:rsidRDefault="000F015F"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11.1. Informations sur les effets toxicologiques</w:t>
      </w:r>
    </w:p>
    <w:tbl>
      <w:tblPr>
        <w:tblW w:w="12805" w:type="dxa"/>
        <w:tblCellMar>
          <w:left w:w="70" w:type="dxa"/>
          <w:right w:w="70" w:type="dxa"/>
        </w:tblCellMar>
        <w:tblLook w:val="04A0" w:firstRow="1" w:lastRow="0" w:firstColumn="1" w:lastColumn="0" w:noHBand="0" w:noVBand="1"/>
      </w:tblPr>
      <w:tblGrid>
        <w:gridCol w:w="1957"/>
        <w:gridCol w:w="873"/>
        <w:gridCol w:w="598"/>
        <w:gridCol w:w="1947"/>
        <w:gridCol w:w="1257"/>
        <w:gridCol w:w="1835"/>
        <w:gridCol w:w="1828"/>
        <w:gridCol w:w="7"/>
        <w:gridCol w:w="1017"/>
        <w:gridCol w:w="1296"/>
        <w:gridCol w:w="190"/>
      </w:tblGrid>
      <w:tr w:rsidR="00A557F8" w:rsidRPr="00A557F8" w:rsidTr="00A557F8">
        <w:trPr>
          <w:gridAfter w:val="3"/>
          <w:wAfter w:w="2503" w:type="dxa"/>
          <w:trHeight w:val="330"/>
        </w:trPr>
        <w:tc>
          <w:tcPr>
            <w:tcW w:w="342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Toxicité aiguë</w:t>
            </w:r>
          </w:p>
        </w:tc>
        <w:tc>
          <w:tcPr>
            <w:tcW w:w="6874" w:type="dxa"/>
            <w:gridSpan w:val="5"/>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gridAfter w:val="4"/>
          <w:wAfter w:w="2510" w:type="dxa"/>
          <w:trHeight w:val="330"/>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873" w:type="dxa"/>
            <w:tcBorders>
              <w:top w:val="nil"/>
              <w:left w:val="nil"/>
              <w:bottom w:val="nil"/>
              <w:right w:val="nil"/>
            </w:tcBorders>
            <w:shd w:val="clear" w:color="auto" w:fill="auto"/>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7465" w:type="dxa"/>
            <w:gridSpan w:val="5"/>
            <w:tcBorders>
              <w:top w:val="nil"/>
              <w:left w:val="nil"/>
              <w:bottom w:val="nil"/>
              <w:right w:val="single" w:sz="4" w:space="0" w:color="000000"/>
            </w:tcBorders>
            <w:shd w:val="clear" w:color="auto" w:fill="auto"/>
            <w:hideMark/>
          </w:tcPr>
          <w:p w:rsidR="00A557F8" w:rsidRPr="00A557F8" w:rsidRDefault="00A557F8" w:rsidP="00A557F8">
            <w:pPr>
              <w:spacing w:after="0" w:line="240" w:lineRule="auto"/>
              <w:ind w:left="216" w:hanging="216"/>
              <w:rPr>
                <w:rFonts w:ascii="Calibri" w:eastAsia="Times New Roman" w:hAnsi="Calibri" w:cs="Times New Roman"/>
                <w:lang w:eastAsia="fr-FR"/>
              </w:rPr>
            </w:pPr>
            <w:r w:rsidRPr="00A557F8">
              <w:rPr>
                <w:rFonts w:ascii="Calibri" w:eastAsia="Times New Roman" w:hAnsi="Calibri" w:cs="Times New Roman"/>
                <w:lang w:eastAsia="fr-FR"/>
              </w:rPr>
              <w:t>Compte tenu des données disponibles, ne remplit pas les critères de classification</w:t>
            </w:r>
          </w:p>
        </w:tc>
      </w:tr>
      <w:tr w:rsidR="00A557F8" w:rsidRPr="00A557F8" w:rsidTr="00A557F8">
        <w:trPr>
          <w:gridAfter w:val="3"/>
          <w:wAfter w:w="2503" w:type="dxa"/>
          <w:trHeight w:val="330"/>
        </w:trPr>
        <w:tc>
          <w:tcPr>
            <w:tcW w:w="3428" w:type="dxa"/>
            <w:gridSpan w:val="3"/>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Corrosion / Irritation cutanée</w:t>
            </w:r>
          </w:p>
        </w:tc>
        <w:tc>
          <w:tcPr>
            <w:tcW w:w="6874" w:type="dxa"/>
            <w:gridSpan w:val="5"/>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gridAfter w:val="3"/>
          <w:wAfter w:w="2503" w:type="dxa"/>
          <w:trHeight w:val="330"/>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6874" w:type="dxa"/>
            <w:gridSpan w:val="5"/>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Compte tenu des données disponibles, ne remplit pas les critères de classification</w:t>
            </w:r>
          </w:p>
        </w:tc>
      </w:tr>
      <w:tr w:rsidR="00A557F8" w:rsidRPr="00A557F8" w:rsidTr="00A557F8">
        <w:trPr>
          <w:trHeight w:val="105"/>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94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35"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35"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01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96"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90"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gridAfter w:val="3"/>
          <w:wAfter w:w="2503" w:type="dxa"/>
          <w:trHeight w:val="330"/>
        </w:trPr>
        <w:tc>
          <w:tcPr>
            <w:tcW w:w="3428" w:type="dxa"/>
            <w:gridSpan w:val="3"/>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Blessures / Irritation oculaire grave</w:t>
            </w:r>
          </w:p>
        </w:tc>
        <w:tc>
          <w:tcPr>
            <w:tcW w:w="6874" w:type="dxa"/>
            <w:gridSpan w:val="5"/>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gridAfter w:val="3"/>
          <w:wAfter w:w="2503" w:type="dxa"/>
          <w:trHeight w:val="330"/>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6874" w:type="dxa"/>
            <w:gridSpan w:val="5"/>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Irritant</w:t>
            </w:r>
          </w:p>
        </w:tc>
      </w:tr>
      <w:tr w:rsidR="00A557F8" w:rsidRPr="00A557F8" w:rsidTr="00A557F8">
        <w:trPr>
          <w:trHeight w:val="105"/>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94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35"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35"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01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96"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90"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gridAfter w:val="3"/>
          <w:wAfter w:w="2503" w:type="dxa"/>
          <w:trHeight w:val="330"/>
        </w:trPr>
        <w:tc>
          <w:tcPr>
            <w:tcW w:w="3428" w:type="dxa"/>
            <w:gridSpan w:val="3"/>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Sensibilisation respiratoire ou cutanée</w:t>
            </w:r>
          </w:p>
        </w:tc>
        <w:tc>
          <w:tcPr>
            <w:tcW w:w="6874" w:type="dxa"/>
            <w:gridSpan w:val="5"/>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gridAfter w:val="3"/>
          <w:wAfter w:w="2503" w:type="dxa"/>
          <w:trHeight w:val="330"/>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6874" w:type="dxa"/>
            <w:gridSpan w:val="5"/>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xml:space="preserve">Non sensibilisant </w:t>
            </w:r>
          </w:p>
        </w:tc>
      </w:tr>
      <w:tr w:rsidR="00A557F8" w:rsidRPr="00A557F8" w:rsidTr="00A557F8">
        <w:trPr>
          <w:gridAfter w:val="3"/>
          <w:wAfter w:w="2503" w:type="dxa"/>
          <w:trHeight w:val="105"/>
        </w:trPr>
        <w:tc>
          <w:tcPr>
            <w:tcW w:w="3428" w:type="dxa"/>
            <w:gridSpan w:val="3"/>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6874" w:type="dxa"/>
            <w:gridSpan w:val="5"/>
            <w:tcBorders>
              <w:top w:val="nil"/>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gridAfter w:val="3"/>
          <w:wAfter w:w="2503" w:type="dxa"/>
          <w:trHeight w:val="330"/>
        </w:trPr>
        <w:tc>
          <w:tcPr>
            <w:tcW w:w="3428" w:type="dxa"/>
            <w:gridSpan w:val="3"/>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Cancérogénicité</w:t>
            </w:r>
          </w:p>
        </w:tc>
        <w:tc>
          <w:tcPr>
            <w:tcW w:w="6874" w:type="dxa"/>
            <w:gridSpan w:val="5"/>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gridAfter w:val="3"/>
          <w:wAfter w:w="2503" w:type="dxa"/>
          <w:trHeight w:val="330"/>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6874" w:type="dxa"/>
            <w:gridSpan w:val="5"/>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Non disponible</w:t>
            </w:r>
          </w:p>
        </w:tc>
      </w:tr>
      <w:tr w:rsidR="00A557F8" w:rsidRPr="00A557F8" w:rsidTr="00A557F8">
        <w:trPr>
          <w:trHeight w:val="120"/>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94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35"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35"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01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96"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90"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gridAfter w:val="3"/>
          <w:wAfter w:w="2503" w:type="dxa"/>
          <w:trHeight w:val="315"/>
        </w:trPr>
        <w:tc>
          <w:tcPr>
            <w:tcW w:w="3428" w:type="dxa"/>
            <w:gridSpan w:val="3"/>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Mutagénicité des cellules germinales</w:t>
            </w:r>
          </w:p>
        </w:tc>
        <w:tc>
          <w:tcPr>
            <w:tcW w:w="6874" w:type="dxa"/>
            <w:gridSpan w:val="5"/>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gridAfter w:val="3"/>
          <w:wAfter w:w="2503" w:type="dxa"/>
          <w:trHeight w:val="330"/>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6874" w:type="dxa"/>
            <w:gridSpan w:val="5"/>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Non mutagène</w:t>
            </w:r>
          </w:p>
        </w:tc>
      </w:tr>
      <w:tr w:rsidR="00A557F8" w:rsidRPr="00A557F8" w:rsidTr="00A557F8">
        <w:trPr>
          <w:trHeight w:val="135"/>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94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35"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35"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01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96"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90"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gridAfter w:val="3"/>
          <w:wAfter w:w="2503" w:type="dxa"/>
          <w:trHeight w:val="300"/>
        </w:trPr>
        <w:tc>
          <w:tcPr>
            <w:tcW w:w="3428" w:type="dxa"/>
            <w:gridSpan w:val="3"/>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Toxicité pour la reproduction</w:t>
            </w:r>
          </w:p>
        </w:tc>
        <w:tc>
          <w:tcPr>
            <w:tcW w:w="6874" w:type="dxa"/>
            <w:gridSpan w:val="5"/>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gridAfter w:val="3"/>
          <w:wAfter w:w="2503" w:type="dxa"/>
          <w:trHeight w:val="330"/>
        </w:trPr>
        <w:tc>
          <w:tcPr>
            <w:tcW w:w="1957"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471" w:type="dxa"/>
            <w:gridSpan w:val="2"/>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6874" w:type="dxa"/>
            <w:gridSpan w:val="5"/>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Compte tenu des données disponibles, ne remplit pas les critères de classification</w:t>
            </w:r>
          </w:p>
        </w:tc>
      </w:tr>
    </w:tbl>
    <w:p w:rsidR="00CA3D6C" w:rsidRDefault="00CA3D6C" w:rsidP="00331B6C">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0F015F" w:rsidRPr="004672F2" w:rsidTr="004167AD">
        <w:trPr>
          <w:trHeight w:val="300"/>
        </w:trPr>
        <w:tc>
          <w:tcPr>
            <w:tcW w:w="9781" w:type="dxa"/>
            <w:shd w:val="clear" w:color="000000" w:fill="D9D9D9" w:themeFill="background1" w:themeFillShade="D9"/>
            <w:vAlign w:val="bottom"/>
            <w:hideMark/>
          </w:tcPr>
          <w:p w:rsidR="000F015F" w:rsidRPr="004672F2" w:rsidRDefault="000F015F"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12 : Informations écologiques</w:t>
            </w:r>
          </w:p>
        </w:tc>
      </w:tr>
    </w:tbl>
    <w:p w:rsidR="00A96D69" w:rsidRDefault="00A96D69" w:rsidP="00A96D69">
      <w:pPr>
        <w:spacing w:after="0"/>
        <w:jc w:val="both"/>
        <w:rPr>
          <w:rFonts w:ascii="Calibri" w:eastAsia="Times New Roman" w:hAnsi="Calibri" w:cs="Times New Roman"/>
          <w:b/>
          <w:bCs/>
          <w:color w:val="000000"/>
          <w:lang w:eastAsia="fr-FR"/>
        </w:rPr>
      </w:pPr>
    </w:p>
    <w:tbl>
      <w:tblPr>
        <w:tblW w:w="14280" w:type="dxa"/>
        <w:tblCellMar>
          <w:left w:w="70" w:type="dxa"/>
          <w:right w:w="70" w:type="dxa"/>
        </w:tblCellMar>
        <w:tblLook w:val="04A0" w:firstRow="1" w:lastRow="0" w:firstColumn="1" w:lastColumn="0" w:noHBand="0" w:noVBand="1"/>
      </w:tblPr>
      <w:tblGrid>
        <w:gridCol w:w="1960"/>
        <w:gridCol w:w="1012"/>
        <w:gridCol w:w="2548"/>
        <w:gridCol w:w="1260"/>
        <w:gridCol w:w="1840"/>
        <w:gridCol w:w="1840"/>
        <w:gridCol w:w="1020"/>
        <w:gridCol w:w="1300"/>
        <w:gridCol w:w="1500"/>
      </w:tblGrid>
      <w:tr w:rsidR="00A557F8" w:rsidRPr="00A557F8" w:rsidTr="00A557F8">
        <w:trPr>
          <w:trHeight w:val="390"/>
        </w:trPr>
        <w:tc>
          <w:tcPr>
            <w:tcW w:w="297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Ecotoxicité</w:t>
            </w:r>
          </w:p>
        </w:tc>
        <w:tc>
          <w:tcPr>
            <w:tcW w:w="11308" w:type="dxa"/>
            <w:gridSpan w:val="7"/>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trHeight w:val="330"/>
        </w:trPr>
        <w:tc>
          <w:tcPr>
            <w:tcW w:w="19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p>
        </w:tc>
        <w:tc>
          <w:tcPr>
            <w:tcW w:w="1012"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11308" w:type="dxa"/>
            <w:gridSpan w:val="7"/>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Non toxique</w:t>
            </w:r>
          </w:p>
        </w:tc>
      </w:tr>
      <w:tr w:rsidR="00A557F8" w:rsidRPr="00A557F8" w:rsidTr="00A557F8">
        <w:trPr>
          <w:trHeight w:val="135"/>
        </w:trPr>
        <w:tc>
          <w:tcPr>
            <w:tcW w:w="19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012"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2548"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4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4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02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30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500"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trHeight w:val="345"/>
        </w:trPr>
        <w:tc>
          <w:tcPr>
            <w:tcW w:w="297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proofErr w:type="spellStart"/>
            <w:r w:rsidRPr="00A557F8">
              <w:rPr>
                <w:rFonts w:ascii="Calibri" w:eastAsia="Times New Roman" w:hAnsi="Calibri" w:cs="Times New Roman"/>
                <w:b/>
                <w:bCs/>
                <w:lang w:eastAsia="fr-FR"/>
              </w:rPr>
              <w:t>Persistence</w:t>
            </w:r>
            <w:proofErr w:type="spellEnd"/>
            <w:r w:rsidRPr="00A557F8">
              <w:rPr>
                <w:rFonts w:ascii="Calibri" w:eastAsia="Times New Roman" w:hAnsi="Calibri" w:cs="Times New Roman"/>
                <w:b/>
                <w:bCs/>
                <w:lang w:eastAsia="fr-FR"/>
              </w:rPr>
              <w:t xml:space="preserve"> et dégradabilité</w:t>
            </w:r>
          </w:p>
        </w:tc>
        <w:tc>
          <w:tcPr>
            <w:tcW w:w="11308" w:type="dxa"/>
            <w:gridSpan w:val="7"/>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trHeight w:val="330"/>
        </w:trPr>
        <w:tc>
          <w:tcPr>
            <w:tcW w:w="19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p>
        </w:tc>
        <w:tc>
          <w:tcPr>
            <w:tcW w:w="1012"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11308" w:type="dxa"/>
            <w:gridSpan w:val="7"/>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Aucune donnée</w:t>
            </w:r>
          </w:p>
        </w:tc>
      </w:tr>
      <w:tr w:rsidR="00A557F8" w:rsidRPr="00A557F8" w:rsidTr="00A557F8">
        <w:trPr>
          <w:trHeight w:val="135"/>
        </w:trPr>
        <w:tc>
          <w:tcPr>
            <w:tcW w:w="19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012"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1308" w:type="dxa"/>
            <w:gridSpan w:val="7"/>
            <w:tcBorders>
              <w:top w:val="nil"/>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trHeight w:val="330"/>
        </w:trPr>
        <w:tc>
          <w:tcPr>
            <w:tcW w:w="2972" w:type="dxa"/>
            <w:gridSpan w:val="2"/>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Potentiel de bioaccumulation</w:t>
            </w:r>
          </w:p>
        </w:tc>
        <w:tc>
          <w:tcPr>
            <w:tcW w:w="11308" w:type="dxa"/>
            <w:gridSpan w:val="7"/>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trHeight w:val="330"/>
        </w:trPr>
        <w:tc>
          <w:tcPr>
            <w:tcW w:w="19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p>
        </w:tc>
        <w:tc>
          <w:tcPr>
            <w:tcW w:w="1012"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11308" w:type="dxa"/>
            <w:gridSpan w:val="7"/>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Très bas potentiel</w:t>
            </w:r>
          </w:p>
        </w:tc>
      </w:tr>
      <w:tr w:rsidR="00A557F8" w:rsidRPr="00A557F8" w:rsidTr="00A557F8">
        <w:trPr>
          <w:trHeight w:val="105"/>
        </w:trPr>
        <w:tc>
          <w:tcPr>
            <w:tcW w:w="19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p>
        </w:tc>
        <w:tc>
          <w:tcPr>
            <w:tcW w:w="1012"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2548"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2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4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84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02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30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Times New Roman" w:eastAsia="Times New Roman" w:hAnsi="Times New Roman" w:cs="Times New Roman"/>
                <w:sz w:val="20"/>
                <w:szCs w:val="20"/>
                <w:lang w:eastAsia="fr-FR"/>
              </w:rPr>
            </w:pPr>
          </w:p>
        </w:tc>
        <w:tc>
          <w:tcPr>
            <w:tcW w:w="1500"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trHeight w:val="450"/>
        </w:trPr>
        <w:tc>
          <w:tcPr>
            <w:tcW w:w="2972" w:type="dxa"/>
            <w:gridSpan w:val="2"/>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Mobilité dans le sol</w:t>
            </w:r>
          </w:p>
        </w:tc>
        <w:tc>
          <w:tcPr>
            <w:tcW w:w="11308" w:type="dxa"/>
            <w:gridSpan w:val="7"/>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trHeight w:val="330"/>
        </w:trPr>
        <w:tc>
          <w:tcPr>
            <w:tcW w:w="19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p>
        </w:tc>
        <w:tc>
          <w:tcPr>
            <w:tcW w:w="1012"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11308" w:type="dxa"/>
            <w:gridSpan w:val="7"/>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Bas potentiel d'adsorption</w:t>
            </w:r>
          </w:p>
        </w:tc>
      </w:tr>
      <w:tr w:rsidR="00A557F8" w:rsidRPr="00A557F8" w:rsidTr="00A557F8">
        <w:trPr>
          <w:trHeight w:val="405"/>
        </w:trPr>
        <w:tc>
          <w:tcPr>
            <w:tcW w:w="2972" w:type="dxa"/>
            <w:gridSpan w:val="2"/>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Résultats de l'évaluation PBT/</w:t>
            </w:r>
            <w:proofErr w:type="spellStart"/>
            <w:r w:rsidRPr="00A557F8">
              <w:rPr>
                <w:rFonts w:ascii="Calibri" w:eastAsia="Times New Roman" w:hAnsi="Calibri" w:cs="Times New Roman"/>
                <w:b/>
                <w:bCs/>
                <w:lang w:eastAsia="fr-FR"/>
              </w:rPr>
              <w:t>vPvB</w:t>
            </w:r>
            <w:proofErr w:type="spellEnd"/>
          </w:p>
        </w:tc>
        <w:tc>
          <w:tcPr>
            <w:tcW w:w="11308" w:type="dxa"/>
            <w:gridSpan w:val="7"/>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w:t>
            </w:r>
          </w:p>
        </w:tc>
      </w:tr>
      <w:tr w:rsidR="00A557F8" w:rsidRPr="00A557F8" w:rsidTr="00A557F8">
        <w:trPr>
          <w:trHeight w:val="330"/>
        </w:trPr>
        <w:tc>
          <w:tcPr>
            <w:tcW w:w="1960"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p>
        </w:tc>
        <w:tc>
          <w:tcPr>
            <w:tcW w:w="1012" w:type="dxa"/>
            <w:tcBorders>
              <w:top w:val="nil"/>
              <w:left w:val="nil"/>
              <w:bottom w:val="nil"/>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SSP</w:t>
            </w:r>
          </w:p>
        </w:tc>
        <w:tc>
          <w:tcPr>
            <w:tcW w:w="11308" w:type="dxa"/>
            <w:gridSpan w:val="7"/>
            <w:tcBorders>
              <w:top w:val="nil"/>
              <w:left w:val="nil"/>
              <w:bottom w:val="nil"/>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L'évaluation n'a pas été effectué parce que la substance est de nature inorganique</w:t>
            </w:r>
          </w:p>
        </w:tc>
      </w:tr>
      <w:tr w:rsidR="00A557F8" w:rsidRPr="00A557F8" w:rsidTr="00A557F8">
        <w:trPr>
          <w:trHeight w:val="135"/>
        </w:trPr>
        <w:tc>
          <w:tcPr>
            <w:tcW w:w="1428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 </w:t>
            </w:r>
          </w:p>
        </w:tc>
      </w:tr>
      <w:tr w:rsidR="00A557F8" w:rsidRPr="00A557F8" w:rsidTr="00A557F8">
        <w:trPr>
          <w:trHeight w:val="300"/>
        </w:trPr>
        <w:tc>
          <w:tcPr>
            <w:tcW w:w="1960" w:type="dxa"/>
            <w:tcBorders>
              <w:top w:val="nil"/>
              <w:left w:val="nil"/>
              <w:bottom w:val="single" w:sz="4" w:space="0" w:color="auto"/>
              <w:right w:val="nil"/>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lang w:eastAsia="fr-FR"/>
              </w:rPr>
            </w:pPr>
            <w:r w:rsidRPr="00A557F8">
              <w:rPr>
                <w:rFonts w:ascii="Calibri" w:eastAsia="Times New Roman" w:hAnsi="Calibri" w:cs="Times New Roman"/>
                <w:b/>
                <w:bCs/>
                <w:lang w:eastAsia="fr-FR"/>
              </w:rPr>
              <w:t>Autres effets nocifs</w:t>
            </w:r>
          </w:p>
        </w:tc>
        <w:tc>
          <w:tcPr>
            <w:tcW w:w="12320" w:type="dxa"/>
            <w:gridSpan w:val="8"/>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lang w:eastAsia="fr-FR"/>
              </w:rPr>
            </w:pPr>
            <w:r w:rsidRPr="00A557F8">
              <w:rPr>
                <w:rFonts w:ascii="Calibri" w:eastAsia="Times New Roman" w:hAnsi="Calibri" w:cs="Times New Roman"/>
                <w:lang w:eastAsia="fr-FR"/>
              </w:rPr>
              <w:t>-</w:t>
            </w:r>
          </w:p>
        </w:tc>
      </w:tr>
    </w:tbl>
    <w:p w:rsidR="00CA3D6C" w:rsidRPr="00715773" w:rsidRDefault="00CA3D6C" w:rsidP="00331B6C">
      <w:pPr>
        <w:spacing w:after="0"/>
        <w:jc w:val="both"/>
        <w:rPr>
          <w:rFonts w:ascii="Calibri" w:eastAsia="Times New Roman" w:hAnsi="Calibri" w:cs="Times New Roman"/>
          <w:color w:val="000000"/>
          <w:lang w:eastAsia="fr-FR"/>
        </w:rPr>
      </w:pPr>
    </w:p>
    <w:p w:rsidR="00A96D69" w:rsidRDefault="00A96D69" w:rsidP="00A96D69">
      <w:pPr>
        <w:spacing w:after="0"/>
        <w:jc w:val="both"/>
        <w:rPr>
          <w:rFonts w:ascii="Calibri" w:eastAsia="Times New Roman" w:hAnsi="Calibri" w:cs="Times New Roman"/>
          <w:b/>
          <w:bCs/>
          <w:color w:val="000000"/>
          <w:lang w:eastAsia="fr-FR"/>
        </w:rPr>
      </w:pPr>
    </w:p>
    <w:p w:rsidR="00A557F8" w:rsidRDefault="00A557F8" w:rsidP="00A96D69">
      <w:pPr>
        <w:spacing w:after="0"/>
        <w:jc w:val="both"/>
        <w:rPr>
          <w:rFonts w:ascii="Calibri" w:eastAsia="Times New Roman" w:hAnsi="Calibri" w:cs="Times New Roman"/>
          <w:b/>
          <w:bCs/>
          <w:color w:val="000000"/>
          <w:lang w:eastAsia="fr-FR"/>
        </w:rPr>
      </w:pPr>
    </w:p>
    <w:p w:rsidR="00A557F8" w:rsidRDefault="00A557F8" w:rsidP="00A96D69">
      <w:pPr>
        <w:spacing w:after="0"/>
        <w:jc w:val="both"/>
        <w:rPr>
          <w:rFonts w:ascii="Calibri" w:eastAsia="Times New Roman" w:hAnsi="Calibri" w:cs="Times New Roman"/>
          <w:b/>
          <w:bCs/>
          <w:color w:val="000000"/>
          <w:lang w:eastAsia="fr-FR"/>
        </w:rPr>
      </w:pPr>
    </w:p>
    <w:p w:rsidR="00A96D69" w:rsidRDefault="00A96D69" w:rsidP="00331B6C">
      <w:pPr>
        <w:spacing w:after="0"/>
        <w:jc w:val="both"/>
        <w:rPr>
          <w:rFonts w:ascii="Calibri" w:eastAsia="Times New Roman" w:hAnsi="Calibri" w:cs="Times New Roman"/>
          <w:b/>
          <w:bCs/>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0F015F" w:rsidRPr="004672F2" w:rsidTr="004167AD">
        <w:trPr>
          <w:trHeight w:val="300"/>
        </w:trPr>
        <w:tc>
          <w:tcPr>
            <w:tcW w:w="9781" w:type="dxa"/>
            <w:shd w:val="clear" w:color="000000" w:fill="D9D9D9" w:themeFill="background1" w:themeFillShade="D9"/>
            <w:vAlign w:val="bottom"/>
            <w:hideMark/>
          </w:tcPr>
          <w:p w:rsidR="000F015F" w:rsidRPr="004672F2" w:rsidRDefault="000F015F"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13 : Considérations relatives à l'élimination</w:t>
            </w:r>
          </w:p>
        </w:tc>
      </w:tr>
    </w:tbl>
    <w:p w:rsidR="000F015F" w:rsidRDefault="000F015F" w:rsidP="00331B6C">
      <w:pPr>
        <w:spacing w:after="0"/>
        <w:jc w:val="both"/>
        <w:rPr>
          <w:rFonts w:ascii="Calibri" w:eastAsia="Times New Roman" w:hAnsi="Calibri" w:cs="Times New Roman"/>
          <w:b/>
          <w:bCs/>
          <w:color w:val="000000"/>
          <w:lang w:eastAsia="fr-FR"/>
        </w:rPr>
      </w:pPr>
    </w:p>
    <w:p w:rsidR="000F015F" w:rsidRDefault="000F015F"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13.1. Méthodes de traitement des déchets</w:t>
      </w:r>
    </w:p>
    <w:p w:rsidR="00A557F8" w:rsidRPr="00A557F8" w:rsidRDefault="00A557F8" w:rsidP="00A557F8">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 xml:space="preserve">Retirer par </w:t>
      </w:r>
      <w:proofErr w:type="gramStart"/>
      <w:r w:rsidRPr="00A557F8">
        <w:rPr>
          <w:rFonts w:ascii="Calibri" w:eastAsia="Times New Roman" w:hAnsi="Calibri" w:cs="Times New Roman"/>
          <w:color w:val="000000"/>
          <w:lang w:eastAsia="fr-FR"/>
        </w:rPr>
        <w:t>des moyens mécanique</w:t>
      </w:r>
      <w:proofErr w:type="gramEnd"/>
      <w:r w:rsidRPr="00A557F8">
        <w:rPr>
          <w:rFonts w:ascii="Calibri" w:eastAsia="Times New Roman" w:hAnsi="Calibri" w:cs="Times New Roman"/>
          <w:color w:val="000000"/>
          <w:lang w:eastAsia="fr-FR"/>
        </w:rPr>
        <w:t>.</w:t>
      </w:r>
    </w:p>
    <w:p w:rsidR="00A557F8" w:rsidRPr="00A557F8" w:rsidRDefault="00A557F8" w:rsidP="00A557F8">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Ne pas retirer le produit dilué dans de l'eau ou le jeter dans les égouts.</w:t>
      </w:r>
    </w:p>
    <w:p w:rsidR="0020770D" w:rsidRDefault="00A557F8" w:rsidP="00A557F8">
      <w:pPr>
        <w:spacing w:after="0"/>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Suivez les instructions locales et les règles régissant la cession.</w:t>
      </w:r>
    </w:p>
    <w:p w:rsidR="00A557F8" w:rsidRDefault="00A557F8" w:rsidP="00A557F8">
      <w:pPr>
        <w:spacing w:after="0"/>
        <w:jc w:val="both"/>
        <w:rPr>
          <w:rFonts w:ascii="Calibri" w:eastAsia="Times New Roman" w:hAnsi="Calibri" w:cs="Times New Roman"/>
          <w:b/>
          <w:bCs/>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0F015F" w:rsidRPr="004672F2" w:rsidTr="004167AD">
        <w:trPr>
          <w:trHeight w:val="300"/>
        </w:trPr>
        <w:tc>
          <w:tcPr>
            <w:tcW w:w="9781" w:type="dxa"/>
            <w:shd w:val="clear" w:color="000000" w:fill="D9D9D9" w:themeFill="background1" w:themeFillShade="D9"/>
            <w:vAlign w:val="bottom"/>
            <w:hideMark/>
          </w:tcPr>
          <w:p w:rsidR="000F015F" w:rsidRPr="004672F2" w:rsidRDefault="000F015F"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14 : Informations relatives au transport</w:t>
            </w:r>
          </w:p>
        </w:tc>
      </w:tr>
    </w:tbl>
    <w:p w:rsidR="000F015F" w:rsidRDefault="000F015F" w:rsidP="00331B6C">
      <w:pPr>
        <w:spacing w:after="0"/>
        <w:jc w:val="both"/>
        <w:rPr>
          <w:rFonts w:ascii="Calibri" w:eastAsia="Times New Roman" w:hAnsi="Calibri" w:cs="Times New Roman"/>
          <w:b/>
          <w:bCs/>
          <w:color w:val="000000"/>
          <w:lang w:eastAsia="fr-FR"/>
        </w:rPr>
      </w:pPr>
    </w:p>
    <w:p w:rsidR="000F015F" w:rsidRDefault="000F015F"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14.1. Numéro ONU</w:t>
      </w:r>
    </w:p>
    <w:tbl>
      <w:tblPr>
        <w:tblW w:w="9870" w:type="dxa"/>
        <w:tblCellMar>
          <w:left w:w="70" w:type="dxa"/>
          <w:right w:w="70" w:type="dxa"/>
        </w:tblCellMar>
        <w:tblLook w:val="04A0" w:firstRow="1" w:lastRow="0" w:firstColumn="1" w:lastColumn="0" w:noHBand="0" w:noVBand="1"/>
      </w:tblPr>
      <w:tblGrid>
        <w:gridCol w:w="1691"/>
        <w:gridCol w:w="1461"/>
        <w:gridCol w:w="1088"/>
        <w:gridCol w:w="977"/>
        <w:gridCol w:w="1543"/>
        <w:gridCol w:w="1883"/>
        <w:gridCol w:w="1220"/>
        <w:gridCol w:w="7"/>
      </w:tblGrid>
      <w:tr w:rsidR="00A557F8" w:rsidRPr="00A557F8" w:rsidTr="00A557F8">
        <w:trPr>
          <w:gridAfter w:val="1"/>
          <w:wAfter w:w="8" w:type="dxa"/>
          <w:trHeight w:val="975"/>
        </w:trPr>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Information réglementaire</w:t>
            </w:r>
          </w:p>
        </w:tc>
        <w:tc>
          <w:tcPr>
            <w:tcW w:w="1967" w:type="dxa"/>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N° ONU</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Nom propre du</w:t>
            </w:r>
            <w:r w:rsidRPr="00A557F8">
              <w:rPr>
                <w:rFonts w:ascii="Calibri" w:eastAsia="Times New Roman" w:hAnsi="Calibri" w:cs="Times New Roman"/>
                <w:b/>
                <w:bCs/>
                <w:color w:val="000000"/>
                <w:lang w:eastAsia="fr-FR"/>
              </w:rPr>
              <w:br/>
              <w:t>transport</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Classe</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Groupe</w:t>
            </w:r>
            <w:r w:rsidRPr="00A557F8">
              <w:rPr>
                <w:rFonts w:ascii="Calibri" w:eastAsia="Times New Roman" w:hAnsi="Calibri" w:cs="Times New Roman"/>
                <w:b/>
                <w:bCs/>
                <w:color w:val="000000"/>
                <w:lang w:eastAsia="fr-FR"/>
              </w:rPr>
              <w:br/>
              <w:t>d'emballage</w:t>
            </w:r>
          </w:p>
        </w:tc>
        <w:tc>
          <w:tcPr>
            <w:tcW w:w="858" w:type="dxa"/>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Risques</w:t>
            </w:r>
            <w:r w:rsidRPr="00A557F8">
              <w:rPr>
                <w:rFonts w:ascii="Calibri" w:eastAsia="Times New Roman" w:hAnsi="Calibri" w:cs="Times New Roman"/>
                <w:b/>
                <w:bCs/>
                <w:color w:val="000000"/>
                <w:lang w:eastAsia="fr-FR"/>
              </w:rPr>
              <w:br/>
              <w:t>environnementaux</w:t>
            </w:r>
          </w:p>
        </w:tc>
        <w:tc>
          <w:tcPr>
            <w:tcW w:w="1220" w:type="dxa"/>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b/>
                <w:bCs/>
                <w:color w:val="000000"/>
                <w:lang w:eastAsia="fr-FR"/>
              </w:rPr>
            </w:pPr>
            <w:r w:rsidRPr="00A557F8">
              <w:rPr>
                <w:rFonts w:ascii="Calibri" w:eastAsia="Times New Roman" w:hAnsi="Calibri" w:cs="Times New Roman"/>
                <w:b/>
                <w:bCs/>
                <w:color w:val="000000"/>
                <w:lang w:eastAsia="fr-FR"/>
              </w:rPr>
              <w:t>Précautions spéciales pour les</w:t>
            </w:r>
            <w:r w:rsidRPr="00A557F8">
              <w:rPr>
                <w:rFonts w:ascii="Calibri" w:eastAsia="Times New Roman" w:hAnsi="Calibri" w:cs="Times New Roman"/>
                <w:b/>
                <w:bCs/>
                <w:color w:val="000000"/>
                <w:lang w:eastAsia="fr-FR"/>
              </w:rPr>
              <w:br/>
              <w:t>utilisateurs</w:t>
            </w:r>
          </w:p>
        </w:tc>
      </w:tr>
      <w:tr w:rsidR="00A557F8" w:rsidRPr="00A557F8" w:rsidTr="00A557F8">
        <w:trPr>
          <w:gridAfter w:val="1"/>
          <w:wAfter w:w="8" w:type="dxa"/>
          <w:trHeight w:val="675"/>
        </w:trPr>
        <w:tc>
          <w:tcPr>
            <w:tcW w:w="1839" w:type="dxa"/>
            <w:tcBorders>
              <w:top w:val="nil"/>
              <w:left w:val="single" w:sz="4" w:space="0" w:color="auto"/>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N/A</w:t>
            </w:r>
          </w:p>
        </w:tc>
        <w:tc>
          <w:tcPr>
            <w:tcW w:w="1967"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N/A</w:t>
            </w:r>
          </w:p>
        </w:tc>
        <w:tc>
          <w:tcPr>
            <w:tcW w:w="1139"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N/A</w:t>
            </w:r>
          </w:p>
        </w:tc>
        <w:tc>
          <w:tcPr>
            <w:tcW w:w="1133"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N/A</w:t>
            </w:r>
          </w:p>
        </w:tc>
        <w:tc>
          <w:tcPr>
            <w:tcW w:w="1706" w:type="dxa"/>
            <w:tcBorders>
              <w:top w:val="nil"/>
              <w:left w:val="nil"/>
              <w:bottom w:val="nil"/>
              <w:right w:val="single" w:sz="4" w:space="0" w:color="auto"/>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N/A</w:t>
            </w:r>
          </w:p>
        </w:tc>
        <w:tc>
          <w:tcPr>
            <w:tcW w:w="858" w:type="dxa"/>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N/A</w:t>
            </w:r>
          </w:p>
        </w:tc>
        <w:tc>
          <w:tcPr>
            <w:tcW w:w="1220" w:type="dxa"/>
            <w:tcBorders>
              <w:top w:val="single" w:sz="4" w:space="0" w:color="auto"/>
              <w:left w:val="nil"/>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N/A</w:t>
            </w:r>
          </w:p>
        </w:tc>
      </w:tr>
      <w:tr w:rsidR="00A557F8" w:rsidRPr="00A557F8" w:rsidTr="00A557F8">
        <w:trPr>
          <w:trHeight w:val="675"/>
        </w:trPr>
        <w:tc>
          <w:tcPr>
            <w:tcW w:w="987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557F8" w:rsidRPr="00A557F8" w:rsidRDefault="00A557F8" w:rsidP="00A557F8">
            <w:pPr>
              <w:spacing w:after="0" w:line="240" w:lineRule="auto"/>
              <w:rPr>
                <w:rFonts w:ascii="Calibri" w:eastAsia="Times New Roman" w:hAnsi="Calibri" w:cs="Times New Roman"/>
                <w:i/>
                <w:iCs/>
                <w:color w:val="000000"/>
                <w:lang w:eastAsia="fr-FR"/>
              </w:rPr>
            </w:pPr>
            <w:r w:rsidRPr="00A557F8">
              <w:rPr>
                <w:rFonts w:ascii="Calibri" w:eastAsia="Times New Roman" w:hAnsi="Calibri" w:cs="Times New Roman"/>
                <w:i/>
                <w:iCs/>
                <w:color w:val="000000"/>
                <w:lang w:eastAsia="fr-FR"/>
              </w:rPr>
              <w:t xml:space="preserve">Transport en vrac conformément à l'annexe II de la Convention </w:t>
            </w:r>
            <w:proofErr w:type="spellStart"/>
            <w:r w:rsidRPr="00A557F8">
              <w:rPr>
                <w:rFonts w:ascii="Calibri" w:eastAsia="Times New Roman" w:hAnsi="Calibri" w:cs="Times New Roman"/>
                <w:i/>
                <w:iCs/>
                <w:color w:val="000000"/>
                <w:lang w:eastAsia="fr-FR"/>
              </w:rPr>
              <w:t>Marpol</w:t>
            </w:r>
            <w:proofErr w:type="spellEnd"/>
            <w:r w:rsidRPr="00A557F8">
              <w:rPr>
                <w:rFonts w:ascii="Calibri" w:eastAsia="Times New Roman" w:hAnsi="Calibri" w:cs="Times New Roman"/>
                <w:i/>
                <w:iCs/>
                <w:color w:val="000000"/>
                <w:lang w:eastAsia="fr-FR"/>
              </w:rPr>
              <w:t xml:space="preserve"> 73/78 et du Code </w:t>
            </w:r>
            <w:proofErr w:type="gramStart"/>
            <w:r w:rsidRPr="00A557F8">
              <w:rPr>
                <w:rFonts w:ascii="Calibri" w:eastAsia="Times New Roman" w:hAnsi="Calibri" w:cs="Times New Roman"/>
                <w:i/>
                <w:iCs/>
                <w:color w:val="000000"/>
                <w:lang w:eastAsia="fr-FR"/>
              </w:rPr>
              <w:t>IBC:</w:t>
            </w:r>
            <w:proofErr w:type="gramEnd"/>
            <w:r w:rsidRPr="00A557F8">
              <w:rPr>
                <w:rFonts w:ascii="Calibri" w:eastAsia="Times New Roman" w:hAnsi="Calibri" w:cs="Times New Roman"/>
                <w:i/>
                <w:iCs/>
                <w:color w:val="000000"/>
                <w:lang w:eastAsia="fr-FR"/>
              </w:rPr>
              <w:t xml:space="preserve"> Non applicable.</w:t>
            </w:r>
          </w:p>
        </w:tc>
      </w:tr>
    </w:tbl>
    <w:p w:rsidR="00B80D5E" w:rsidRDefault="00B80D5E" w:rsidP="00331B6C">
      <w:pPr>
        <w:spacing w:after="0"/>
        <w:jc w:val="both"/>
        <w:rPr>
          <w:rFonts w:ascii="Calibri" w:eastAsia="Times New Roman" w:hAnsi="Calibri" w:cs="Times New Roman"/>
          <w:b/>
          <w:bCs/>
          <w:color w:val="000000"/>
          <w:lang w:eastAsia="fr-FR"/>
        </w:rPr>
      </w:pPr>
    </w:p>
    <w:p w:rsidR="000F015F" w:rsidRDefault="000F015F"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14.2. Nom d'expédition des Nations unies</w:t>
      </w:r>
    </w:p>
    <w:p w:rsidR="00B80D5E" w:rsidRPr="00B80D5E" w:rsidRDefault="00B80D5E" w:rsidP="00B80D5E">
      <w:pPr>
        <w:spacing w:after="0"/>
        <w:jc w:val="both"/>
        <w:rPr>
          <w:rFonts w:ascii="Calibri" w:eastAsia="Times New Roman" w:hAnsi="Calibri" w:cs="Times New Roman"/>
          <w:bCs/>
          <w:color w:val="000000"/>
          <w:lang w:eastAsia="fr-FR"/>
        </w:rPr>
      </w:pPr>
      <w:r w:rsidRPr="00B80D5E">
        <w:rPr>
          <w:rFonts w:ascii="Calibri" w:eastAsia="Times New Roman" w:hAnsi="Calibri" w:cs="Times New Roman"/>
          <w:bCs/>
          <w:color w:val="000000"/>
          <w:lang w:eastAsia="fr-FR"/>
        </w:rPr>
        <w:t>Non applicable</w:t>
      </w:r>
    </w:p>
    <w:p w:rsidR="00B80D5E" w:rsidRDefault="00B80D5E" w:rsidP="00331B6C">
      <w:pPr>
        <w:spacing w:after="0"/>
        <w:jc w:val="both"/>
        <w:rPr>
          <w:rFonts w:ascii="Calibri" w:eastAsia="Times New Roman" w:hAnsi="Calibri" w:cs="Times New Roman"/>
          <w:b/>
          <w:bCs/>
          <w:color w:val="000000"/>
          <w:lang w:eastAsia="fr-FR"/>
        </w:rPr>
      </w:pPr>
    </w:p>
    <w:p w:rsidR="000F015F" w:rsidRDefault="000F015F"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14.3. Classe(s) de dangers pour le transport</w:t>
      </w:r>
    </w:p>
    <w:p w:rsidR="00B80D5E" w:rsidRPr="00B80D5E" w:rsidRDefault="00B80D5E" w:rsidP="00B80D5E">
      <w:pPr>
        <w:spacing w:after="0"/>
        <w:jc w:val="both"/>
        <w:rPr>
          <w:rFonts w:ascii="Calibri" w:eastAsia="Times New Roman" w:hAnsi="Calibri" w:cs="Times New Roman"/>
          <w:bCs/>
          <w:color w:val="000000"/>
          <w:lang w:eastAsia="fr-FR"/>
        </w:rPr>
      </w:pPr>
      <w:r w:rsidRPr="00B80D5E">
        <w:rPr>
          <w:rFonts w:ascii="Calibri" w:eastAsia="Times New Roman" w:hAnsi="Calibri" w:cs="Times New Roman"/>
          <w:bCs/>
          <w:color w:val="000000"/>
          <w:lang w:eastAsia="fr-FR"/>
        </w:rPr>
        <w:t>Non applicable</w:t>
      </w:r>
    </w:p>
    <w:p w:rsidR="00B80D5E" w:rsidRDefault="00B80D5E" w:rsidP="00331B6C">
      <w:pPr>
        <w:spacing w:after="0"/>
        <w:jc w:val="both"/>
        <w:rPr>
          <w:rFonts w:ascii="Calibri" w:eastAsia="Times New Roman" w:hAnsi="Calibri" w:cs="Times New Roman"/>
          <w:b/>
          <w:bCs/>
          <w:color w:val="000000"/>
          <w:lang w:eastAsia="fr-FR"/>
        </w:rPr>
      </w:pPr>
    </w:p>
    <w:p w:rsidR="000F015F" w:rsidRDefault="000F015F"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14.4. Groupe d'emballage</w:t>
      </w:r>
    </w:p>
    <w:p w:rsidR="00B80D5E" w:rsidRPr="00B80D5E" w:rsidRDefault="00B80D5E" w:rsidP="00B80D5E">
      <w:pPr>
        <w:spacing w:after="0"/>
        <w:jc w:val="both"/>
        <w:rPr>
          <w:rFonts w:ascii="Calibri" w:eastAsia="Times New Roman" w:hAnsi="Calibri" w:cs="Times New Roman"/>
          <w:bCs/>
          <w:color w:val="000000"/>
          <w:lang w:eastAsia="fr-FR"/>
        </w:rPr>
      </w:pPr>
      <w:r w:rsidRPr="00B80D5E">
        <w:rPr>
          <w:rFonts w:ascii="Calibri" w:eastAsia="Times New Roman" w:hAnsi="Calibri" w:cs="Times New Roman"/>
          <w:bCs/>
          <w:color w:val="000000"/>
          <w:lang w:eastAsia="fr-FR"/>
        </w:rPr>
        <w:t>Non applicable</w:t>
      </w:r>
    </w:p>
    <w:p w:rsidR="00B80D5E" w:rsidRDefault="00B80D5E" w:rsidP="00331B6C">
      <w:pPr>
        <w:spacing w:after="0"/>
        <w:jc w:val="both"/>
        <w:rPr>
          <w:rFonts w:ascii="Calibri" w:eastAsia="Times New Roman" w:hAnsi="Calibri" w:cs="Times New Roman"/>
          <w:color w:val="000000"/>
          <w:lang w:eastAsia="fr-FR"/>
        </w:rPr>
      </w:pPr>
    </w:p>
    <w:p w:rsidR="000F015F" w:rsidRDefault="000F015F"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b/>
          <w:bCs/>
          <w:color w:val="000000"/>
          <w:lang w:eastAsia="fr-FR"/>
        </w:rPr>
        <w:t>14.5. Dangers pour l'environnement</w:t>
      </w:r>
    </w:p>
    <w:p w:rsidR="000F015F" w:rsidRDefault="000F015F"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color w:val="000000"/>
          <w:lang w:eastAsia="fr-FR"/>
        </w:rPr>
        <w:t>Polluant marin : NON</w:t>
      </w:r>
    </w:p>
    <w:p w:rsidR="000F015F" w:rsidRDefault="000F015F" w:rsidP="00331B6C">
      <w:pPr>
        <w:spacing w:after="0"/>
        <w:jc w:val="both"/>
        <w:rPr>
          <w:rFonts w:ascii="Calibri" w:eastAsia="Times New Roman" w:hAnsi="Calibri" w:cs="Times New Roman"/>
          <w:color w:val="000000"/>
          <w:lang w:eastAsia="fr-FR"/>
        </w:rPr>
      </w:pPr>
    </w:p>
    <w:p w:rsidR="000F015F" w:rsidRDefault="000F015F"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b/>
          <w:bCs/>
          <w:color w:val="000000"/>
          <w:lang w:eastAsia="fr-FR"/>
        </w:rPr>
        <w:t>14.6. Précautions particulières à prendre par l'utilisateur</w:t>
      </w:r>
    </w:p>
    <w:p w:rsidR="000F015F" w:rsidRDefault="000F015F"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color w:val="000000"/>
          <w:lang w:eastAsia="fr-FR"/>
        </w:rPr>
        <w:t>Pas de précaution particulière identifiée à prendre.</w:t>
      </w:r>
    </w:p>
    <w:p w:rsidR="00D75AB9" w:rsidRDefault="00D75AB9" w:rsidP="00331B6C">
      <w:pPr>
        <w:spacing w:after="0"/>
        <w:jc w:val="both"/>
        <w:rPr>
          <w:rFonts w:ascii="Calibri" w:eastAsia="Times New Roman" w:hAnsi="Calibri" w:cs="Times New Roman"/>
          <w:color w:val="000000"/>
          <w:lang w:eastAsia="fr-FR"/>
        </w:rPr>
      </w:pPr>
    </w:p>
    <w:p w:rsidR="000F015F" w:rsidRDefault="00323903"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b/>
          <w:bCs/>
          <w:color w:val="000000"/>
          <w:lang w:eastAsia="fr-FR"/>
        </w:rPr>
        <w:t xml:space="preserve">14.7. Transport en vrac conformément à l'annexe II de la convention </w:t>
      </w:r>
      <w:proofErr w:type="spellStart"/>
      <w:r w:rsidRPr="004672F2">
        <w:rPr>
          <w:rFonts w:ascii="Calibri" w:eastAsia="Times New Roman" w:hAnsi="Calibri" w:cs="Times New Roman"/>
          <w:b/>
          <w:bCs/>
          <w:color w:val="000000"/>
          <w:lang w:eastAsia="fr-FR"/>
        </w:rPr>
        <w:t>Marpol</w:t>
      </w:r>
      <w:proofErr w:type="spellEnd"/>
      <w:r w:rsidRPr="004672F2">
        <w:rPr>
          <w:rFonts w:ascii="Calibri" w:eastAsia="Times New Roman" w:hAnsi="Calibri" w:cs="Times New Roman"/>
          <w:b/>
          <w:bCs/>
          <w:color w:val="000000"/>
          <w:lang w:eastAsia="fr-FR"/>
        </w:rPr>
        <w:t xml:space="preserve"> 73/78 et au recueil IBC</w:t>
      </w:r>
    </w:p>
    <w:p w:rsidR="000F015F" w:rsidRDefault="00323903" w:rsidP="00331B6C">
      <w:pPr>
        <w:spacing w:after="0"/>
        <w:jc w:val="both"/>
        <w:rPr>
          <w:rFonts w:ascii="Calibri" w:eastAsia="Times New Roman" w:hAnsi="Calibri" w:cs="Times New Roman"/>
          <w:color w:val="000000"/>
          <w:lang w:eastAsia="fr-FR"/>
        </w:rPr>
      </w:pPr>
      <w:r w:rsidRPr="004672F2">
        <w:rPr>
          <w:rFonts w:ascii="Calibri" w:eastAsia="Times New Roman" w:hAnsi="Calibri" w:cs="Times New Roman"/>
          <w:color w:val="000000"/>
          <w:lang w:eastAsia="fr-FR"/>
        </w:rPr>
        <w:t>Pas de donnée disponible.</w:t>
      </w:r>
    </w:p>
    <w:p w:rsidR="00A557F8" w:rsidRDefault="00A557F8" w:rsidP="00331B6C">
      <w:pPr>
        <w:spacing w:after="0"/>
        <w:jc w:val="both"/>
        <w:rPr>
          <w:rFonts w:ascii="Calibri" w:eastAsia="Times New Roman" w:hAnsi="Calibri" w:cs="Times New Roman"/>
          <w:color w:val="000000"/>
          <w:lang w:eastAsia="fr-FR"/>
        </w:rPr>
      </w:pPr>
    </w:p>
    <w:p w:rsidR="00A557F8" w:rsidRDefault="00A557F8" w:rsidP="00331B6C">
      <w:pPr>
        <w:spacing w:after="0"/>
        <w:jc w:val="both"/>
        <w:rPr>
          <w:rFonts w:ascii="Calibri" w:eastAsia="Times New Roman" w:hAnsi="Calibri" w:cs="Times New Roman"/>
          <w:color w:val="000000"/>
          <w:lang w:eastAsia="fr-FR"/>
        </w:rPr>
      </w:pPr>
    </w:p>
    <w:p w:rsidR="00A557F8" w:rsidRDefault="00A557F8" w:rsidP="00331B6C">
      <w:pPr>
        <w:spacing w:after="0"/>
        <w:jc w:val="both"/>
        <w:rPr>
          <w:rFonts w:ascii="Calibri" w:eastAsia="Times New Roman" w:hAnsi="Calibri" w:cs="Times New Roman"/>
          <w:color w:val="000000"/>
          <w:lang w:eastAsia="fr-FR"/>
        </w:rPr>
      </w:pPr>
    </w:p>
    <w:p w:rsidR="00E25F43" w:rsidRDefault="00E25F43" w:rsidP="00331B6C">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323903" w:rsidRPr="004672F2" w:rsidTr="004167AD">
        <w:trPr>
          <w:trHeight w:val="300"/>
        </w:trPr>
        <w:tc>
          <w:tcPr>
            <w:tcW w:w="9781" w:type="dxa"/>
            <w:shd w:val="clear" w:color="000000" w:fill="D9D9D9" w:themeFill="background1" w:themeFillShade="D9"/>
            <w:vAlign w:val="bottom"/>
            <w:hideMark/>
          </w:tcPr>
          <w:p w:rsidR="00323903" w:rsidRPr="004672F2" w:rsidRDefault="00323903"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lastRenderedPageBreak/>
              <w:t>SECTION 15 : Informations réglementaires</w:t>
            </w:r>
          </w:p>
        </w:tc>
      </w:tr>
    </w:tbl>
    <w:p w:rsidR="00323903" w:rsidRDefault="00323903" w:rsidP="00331B6C">
      <w:pPr>
        <w:spacing w:after="0"/>
        <w:jc w:val="both"/>
        <w:rPr>
          <w:rFonts w:ascii="Calibri" w:eastAsia="Times New Roman" w:hAnsi="Calibri" w:cs="Times New Roman"/>
          <w:color w:val="000000"/>
          <w:lang w:eastAsia="fr-FR"/>
        </w:rPr>
      </w:pPr>
    </w:p>
    <w:p w:rsidR="00323903" w:rsidRDefault="00323903"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15.1. Réglementations/législation particulières à la substance ou au mélange en matière de sécurité, de santé et d'environnement</w:t>
      </w:r>
    </w:p>
    <w:p w:rsidR="0094121F" w:rsidRDefault="00A557F8" w:rsidP="00B80D5E">
      <w:pPr>
        <w:spacing w:after="0" w:line="240" w:lineRule="auto"/>
        <w:jc w:val="both"/>
        <w:rPr>
          <w:rFonts w:ascii="Calibri" w:eastAsia="Times New Roman" w:hAnsi="Calibri" w:cs="Times New Roman"/>
          <w:color w:val="000000"/>
          <w:lang w:eastAsia="fr-FR"/>
        </w:rPr>
      </w:pPr>
      <w:r w:rsidRPr="00A557F8">
        <w:rPr>
          <w:rFonts w:ascii="Calibri" w:eastAsia="Times New Roman" w:hAnsi="Calibri" w:cs="Times New Roman"/>
          <w:color w:val="000000"/>
          <w:lang w:eastAsia="fr-FR"/>
        </w:rPr>
        <w:t>Concerné par la rubrique 3430 de la Nomenclature des Installations Classés : Fabrication en quantité industrielle par transformation chimique ou biologique d'engrais à base de phosphore, d'azote ou de potassium (engrais simples ou composés)</w:t>
      </w:r>
      <w:r>
        <w:rPr>
          <w:rFonts w:ascii="Calibri" w:eastAsia="Times New Roman" w:hAnsi="Calibri" w:cs="Times New Roman"/>
          <w:color w:val="000000"/>
          <w:lang w:eastAsia="fr-FR"/>
        </w:rPr>
        <w:t>.</w:t>
      </w:r>
    </w:p>
    <w:p w:rsidR="00A557F8" w:rsidRPr="00B80D5E" w:rsidRDefault="00A557F8" w:rsidP="00B80D5E">
      <w:pPr>
        <w:spacing w:after="0" w:line="240" w:lineRule="auto"/>
        <w:jc w:val="both"/>
        <w:rPr>
          <w:rFonts w:ascii="Calibri" w:eastAsia="Times New Roman" w:hAnsi="Calibri" w:cs="Times New Roman"/>
          <w:color w:val="000000"/>
          <w:lang w:eastAsia="fr-FR"/>
        </w:rPr>
      </w:pPr>
    </w:p>
    <w:p w:rsidR="00323903" w:rsidRDefault="00323903" w:rsidP="00331B6C">
      <w:pPr>
        <w:spacing w:after="0"/>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15.2. Evaluation de la sécurité chimique</w:t>
      </w:r>
    </w:p>
    <w:p w:rsidR="007B62CE" w:rsidRDefault="0032386E" w:rsidP="00331B6C">
      <w:pPr>
        <w:spacing w:after="0"/>
        <w:jc w:val="both"/>
        <w:rPr>
          <w:rFonts w:ascii="Calibri" w:eastAsia="Times New Roman" w:hAnsi="Calibri" w:cs="Times New Roman"/>
          <w:color w:val="000000"/>
          <w:lang w:eastAsia="fr-FR"/>
        </w:rPr>
      </w:pPr>
      <w:r w:rsidRPr="0032386E">
        <w:rPr>
          <w:rFonts w:ascii="Calibri" w:eastAsia="Times New Roman" w:hAnsi="Calibri" w:cs="Times New Roman"/>
          <w:color w:val="000000"/>
          <w:lang w:eastAsia="fr-FR"/>
        </w:rPr>
        <w:t>Non applicable</w:t>
      </w:r>
      <w:r>
        <w:rPr>
          <w:rFonts w:ascii="Calibri" w:eastAsia="Times New Roman" w:hAnsi="Calibri" w:cs="Times New Roman"/>
          <w:color w:val="000000"/>
          <w:lang w:eastAsia="fr-FR"/>
        </w:rPr>
        <w:t>.</w:t>
      </w:r>
    </w:p>
    <w:p w:rsidR="0032386E" w:rsidRDefault="0032386E" w:rsidP="00331B6C">
      <w:pPr>
        <w:spacing w:after="0"/>
        <w:jc w:val="both"/>
        <w:rPr>
          <w:rFonts w:ascii="Calibri" w:eastAsia="Times New Roman" w:hAnsi="Calibri" w:cs="Times New Roman"/>
          <w:color w:val="000000"/>
          <w:lang w:eastAsia="fr-FR"/>
        </w:rPr>
      </w:pPr>
    </w:p>
    <w:tbl>
      <w:tblPr>
        <w:tblW w:w="9781" w:type="dxa"/>
        <w:tblInd w:w="70" w:type="dxa"/>
        <w:tblBorders>
          <w:top w:val="single" w:sz="12" w:space="0" w:color="auto"/>
        </w:tblBorders>
        <w:shd w:val="clear" w:color="000000" w:fill="D9D9D9" w:themeFill="background1" w:themeFillShade="D9"/>
        <w:tblCellMar>
          <w:left w:w="70" w:type="dxa"/>
          <w:right w:w="70" w:type="dxa"/>
        </w:tblCellMar>
        <w:tblLook w:val="04A0" w:firstRow="1" w:lastRow="0" w:firstColumn="1" w:lastColumn="0" w:noHBand="0" w:noVBand="1"/>
      </w:tblPr>
      <w:tblGrid>
        <w:gridCol w:w="9781"/>
      </w:tblGrid>
      <w:tr w:rsidR="00323903" w:rsidRPr="004672F2" w:rsidTr="004167AD">
        <w:trPr>
          <w:trHeight w:val="300"/>
        </w:trPr>
        <w:tc>
          <w:tcPr>
            <w:tcW w:w="9781" w:type="dxa"/>
            <w:shd w:val="clear" w:color="000000" w:fill="D9D9D9" w:themeFill="background1" w:themeFillShade="D9"/>
            <w:vAlign w:val="bottom"/>
            <w:hideMark/>
          </w:tcPr>
          <w:p w:rsidR="00323903" w:rsidRPr="004672F2" w:rsidRDefault="00323903" w:rsidP="00331B6C">
            <w:pPr>
              <w:spacing w:after="0" w:line="240" w:lineRule="auto"/>
              <w:jc w:val="both"/>
              <w:rPr>
                <w:rFonts w:ascii="Calibri" w:eastAsia="Times New Roman" w:hAnsi="Calibri" w:cs="Times New Roman"/>
                <w:b/>
                <w:bCs/>
                <w:color w:val="000000"/>
                <w:lang w:eastAsia="fr-FR"/>
              </w:rPr>
            </w:pPr>
            <w:r w:rsidRPr="004672F2">
              <w:rPr>
                <w:rFonts w:ascii="Calibri" w:eastAsia="Times New Roman" w:hAnsi="Calibri" w:cs="Times New Roman"/>
                <w:b/>
                <w:bCs/>
                <w:color w:val="000000"/>
                <w:lang w:eastAsia="fr-FR"/>
              </w:rPr>
              <w:t>SECTION 16 : Autres informations</w:t>
            </w:r>
          </w:p>
        </w:tc>
      </w:tr>
    </w:tbl>
    <w:p w:rsidR="00323903" w:rsidRDefault="00323903" w:rsidP="00331B6C">
      <w:pPr>
        <w:spacing w:after="0"/>
        <w:jc w:val="both"/>
        <w:rPr>
          <w:rFonts w:ascii="Calibri" w:eastAsia="Times New Roman" w:hAnsi="Calibri" w:cs="Times New Roman"/>
          <w:color w:val="000000"/>
          <w:lang w:eastAsia="fr-FR"/>
        </w:rPr>
      </w:pPr>
    </w:p>
    <w:p w:rsidR="0032386E" w:rsidRPr="0032386E" w:rsidRDefault="0032386E" w:rsidP="0032386E">
      <w:pPr>
        <w:spacing w:after="0" w:line="240" w:lineRule="auto"/>
        <w:jc w:val="both"/>
        <w:rPr>
          <w:rFonts w:ascii="Calibri" w:eastAsia="Times New Roman" w:hAnsi="Calibri" w:cs="Times New Roman"/>
          <w:b/>
          <w:bCs/>
          <w:lang w:eastAsia="fr-FR"/>
        </w:rPr>
      </w:pPr>
      <w:r w:rsidRPr="0032386E">
        <w:rPr>
          <w:rFonts w:ascii="Calibri" w:eastAsia="Times New Roman" w:hAnsi="Calibri" w:cs="Times New Roman"/>
          <w:b/>
          <w:bCs/>
          <w:lang w:eastAsia="fr-FR"/>
        </w:rPr>
        <w:t>Phrases de danger H</w:t>
      </w:r>
    </w:p>
    <w:tbl>
      <w:tblPr>
        <w:tblW w:w="9940" w:type="dxa"/>
        <w:tblCellMar>
          <w:left w:w="70" w:type="dxa"/>
          <w:right w:w="70" w:type="dxa"/>
        </w:tblCellMar>
        <w:tblLook w:val="04A0" w:firstRow="1" w:lastRow="0" w:firstColumn="1" w:lastColumn="0" w:noHBand="0" w:noVBand="1"/>
      </w:tblPr>
      <w:tblGrid>
        <w:gridCol w:w="9940"/>
      </w:tblGrid>
      <w:tr w:rsidR="0032386E" w:rsidRPr="0032386E" w:rsidTr="0032386E">
        <w:trPr>
          <w:trHeight w:val="375"/>
        </w:trPr>
        <w:tc>
          <w:tcPr>
            <w:tcW w:w="9940" w:type="dxa"/>
            <w:tcBorders>
              <w:top w:val="nil"/>
            </w:tcBorders>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H315 – Provoque une irritation cutanée</w:t>
            </w:r>
          </w:p>
        </w:tc>
      </w:tr>
      <w:tr w:rsidR="0032386E" w:rsidRPr="0032386E" w:rsidTr="0032386E">
        <w:trPr>
          <w:trHeight w:val="375"/>
        </w:trPr>
        <w:tc>
          <w:tcPr>
            <w:tcW w:w="9940" w:type="dxa"/>
            <w:tcBorders>
              <w:top w:val="nil"/>
              <w:bottom w:val="nil"/>
            </w:tcBorders>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H318 – Provoque des lésions oculaires graves</w:t>
            </w:r>
          </w:p>
        </w:tc>
      </w:tr>
    </w:tbl>
    <w:p w:rsidR="00DE10CF" w:rsidRPr="0032386E" w:rsidRDefault="0032386E" w:rsidP="0032386E">
      <w:pPr>
        <w:spacing w:after="0" w:line="240" w:lineRule="auto"/>
        <w:jc w:val="both"/>
        <w:rPr>
          <w:rFonts w:ascii="Calibri" w:eastAsia="Times New Roman" w:hAnsi="Calibri" w:cs="Times New Roman"/>
          <w:b/>
          <w:bCs/>
          <w:lang w:eastAsia="fr-FR"/>
        </w:rPr>
      </w:pPr>
      <w:r w:rsidRPr="0032386E">
        <w:rPr>
          <w:rFonts w:ascii="Calibri" w:eastAsia="Times New Roman" w:hAnsi="Calibri" w:cs="Times New Roman"/>
          <w:b/>
          <w:bCs/>
          <w:lang w:eastAsia="fr-FR"/>
        </w:rPr>
        <w:t>Phrases de prudence</w:t>
      </w:r>
    </w:p>
    <w:p w:rsidR="0032386E" w:rsidRPr="0032386E" w:rsidRDefault="0032386E" w:rsidP="00331B6C">
      <w:pPr>
        <w:spacing w:after="0"/>
        <w:jc w:val="both"/>
        <w:rPr>
          <w:rFonts w:ascii="Calibri" w:eastAsia="Times New Roman" w:hAnsi="Calibri" w:cs="Times New Roman"/>
          <w:b/>
          <w:color w:val="000000"/>
          <w:u w:val="single"/>
          <w:lang w:eastAsia="fr-FR"/>
        </w:rPr>
      </w:pPr>
      <w:r w:rsidRPr="0032386E">
        <w:rPr>
          <w:rFonts w:ascii="Calibri" w:eastAsia="Times New Roman" w:hAnsi="Calibri" w:cs="Times New Roman"/>
          <w:b/>
          <w:color w:val="000000"/>
          <w:u w:val="single"/>
          <w:lang w:eastAsia="fr-FR"/>
        </w:rPr>
        <w:t>Prévention</w:t>
      </w:r>
    </w:p>
    <w:tbl>
      <w:tblPr>
        <w:tblW w:w="9940" w:type="dxa"/>
        <w:tblCellMar>
          <w:left w:w="70" w:type="dxa"/>
          <w:right w:w="70" w:type="dxa"/>
        </w:tblCellMar>
        <w:tblLook w:val="04A0" w:firstRow="1" w:lastRow="0" w:firstColumn="1" w:lastColumn="0" w:noHBand="0" w:noVBand="1"/>
      </w:tblPr>
      <w:tblGrid>
        <w:gridCol w:w="10080"/>
      </w:tblGrid>
      <w:tr w:rsidR="0032386E" w:rsidRPr="0032386E" w:rsidTr="0032386E">
        <w:trPr>
          <w:trHeight w:val="375"/>
        </w:trPr>
        <w:tc>
          <w:tcPr>
            <w:tcW w:w="9940" w:type="dxa"/>
            <w:tcBorders>
              <w:top w:val="nil"/>
            </w:tcBorders>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P264 – Se laver les mains soigneusement après manipulation.</w:t>
            </w:r>
          </w:p>
        </w:tc>
      </w:tr>
      <w:tr w:rsidR="0032386E" w:rsidRPr="0032386E" w:rsidTr="0032386E">
        <w:trPr>
          <w:trHeight w:val="735"/>
        </w:trPr>
        <w:tc>
          <w:tcPr>
            <w:tcW w:w="9940" w:type="dxa"/>
            <w:tcBorders>
              <w:top w:val="nil"/>
            </w:tcBorders>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P280 – Porter des gants de protection/des vêtements de protection/un équipement de protection des yeux/ du visage.</w:t>
            </w:r>
          </w:p>
          <w:p w:rsidR="0032386E" w:rsidRDefault="0032386E" w:rsidP="0032386E">
            <w:pPr>
              <w:rPr>
                <w:rFonts w:ascii="Calibri" w:hAnsi="Calibri"/>
                <w:b/>
                <w:bCs/>
                <w:color w:val="000000"/>
                <w:u w:val="single"/>
              </w:rPr>
            </w:pPr>
            <w:r>
              <w:rPr>
                <w:rFonts w:ascii="Calibri" w:hAnsi="Calibri"/>
                <w:b/>
                <w:bCs/>
                <w:color w:val="000000"/>
                <w:u w:val="single"/>
              </w:rPr>
              <w:t>Intervention</w:t>
            </w:r>
          </w:p>
          <w:tbl>
            <w:tblPr>
              <w:tblW w:w="9940" w:type="dxa"/>
              <w:tblCellMar>
                <w:left w:w="70" w:type="dxa"/>
                <w:right w:w="70" w:type="dxa"/>
              </w:tblCellMar>
              <w:tblLook w:val="04A0" w:firstRow="1" w:lastRow="0" w:firstColumn="1" w:lastColumn="0" w:noHBand="0" w:noVBand="1"/>
            </w:tblPr>
            <w:tblGrid>
              <w:gridCol w:w="9940"/>
            </w:tblGrid>
            <w:tr w:rsidR="0032386E" w:rsidRPr="0032386E" w:rsidTr="0032386E">
              <w:trPr>
                <w:trHeight w:val="375"/>
              </w:trPr>
              <w:tc>
                <w:tcPr>
                  <w:tcW w:w="9940" w:type="dxa"/>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P310 – Appeler immédiatement un CENTRE ANTIPOISON ou un médecin.</w:t>
                  </w:r>
                </w:p>
              </w:tc>
            </w:tr>
            <w:tr w:rsidR="0032386E" w:rsidRPr="0032386E" w:rsidTr="0032386E">
              <w:trPr>
                <w:trHeight w:val="375"/>
              </w:trPr>
              <w:tc>
                <w:tcPr>
                  <w:tcW w:w="9940" w:type="dxa"/>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P321 – Traitement spécifique (voir sur l'étiquette).</w:t>
                  </w:r>
                </w:p>
              </w:tc>
            </w:tr>
            <w:tr w:rsidR="0032386E" w:rsidRPr="0032386E" w:rsidTr="0032386E">
              <w:trPr>
                <w:trHeight w:val="375"/>
              </w:trPr>
              <w:tc>
                <w:tcPr>
                  <w:tcW w:w="9940" w:type="dxa"/>
                  <w:shd w:val="clear" w:color="auto" w:fill="auto"/>
                  <w:noWrap/>
                  <w:vAlign w:val="bottom"/>
                  <w:hideMark/>
                </w:tcPr>
                <w:p w:rsidR="0032386E" w:rsidRPr="0032386E" w:rsidRDefault="0032386E" w:rsidP="0032386E">
                  <w:pPr>
                    <w:spacing w:after="0" w:line="240" w:lineRule="auto"/>
                    <w:rPr>
                      <w:rFonts w:ascii="Calibri" w:eastAsia="Times New Roman" w:hAnsi="Calibri" w:cs="Times New Roman"/>
                      <w:color w:val="000000"/>
                      <w:lang w:eastAsia="fr-FR"/>
                    </w:rPr>
                  </w:pPr>
                  <w:r w:rsidRPr="0032386E">
                    <w:rPr>
                      <w:rFonts w:ascii="Calibri" w:eastAsia="Times New Roman" w:hAnsi="Calibri" w:cs="Times New Roman"/>
                      <w:color w:val="000000"/>
                      <w:lang w:eastAsia="fr-FR"/>
                    </w:rPr>
                    <w:t>P391 – Recueillir le produit répandu.</w:t>
                  </w:r>
                </w:p>
              </w:tc>
            </w:tr>
            <w:tr w:rsidR="0032386E" w:rsidRPr="0032386E" w:rsidTr="0032386E">
              <w:trPr>
                <w:trHeight w:val="375"/>
              </w:trPr>
              <w:tc>
                <w:tcPr>
                  <w:tcW w:w="9940" w:type="dxa"/>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P362 – Enlever les vêtements contaminés et les laver avant réutilisation</w:t>
                  </w:r>
                </w:p>
              </w:tc>
            </w:tr>
            <w:tr w:rsidR="0032386E" w:rsidRPr="0032386E" w:rsidTr="0032386E">
              <w:trPr>
                <w:trHeight w:val="375"/>
              </w:trPr>
              <w:tc>
                <w:tcPr>
                  <w:tcW w:w="9940" w:type="dxa"/>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 xml:space="preserve">P302 + P352 – EN CAS DE CONTACT AVEC LA </w:t>
                  </w:r>
                  <w:proofErr w:type="gramStart"/>
                  <w:r w:rsidRPr="0032386E">
                    <w:rPr>
                      <w:rFonts w:ascii="Calibri" w:eastAsia="Times New Roman" w:hAnsi="Calibri" w:cs="Times New Roman"/>
                      <w:lang w:eastAsia="fr-FR"/>
                    </w:rPr>
                    <w:t>PEAU:</w:t>
                  </w:r>
                  <w:proofErr w:type="gramEnd"/>
                  <w:r w:rsidRPr="0032386E">
                    <w:rPr>
                      <w:rFonts w:ascii="Calibri" w:eastAsia="Times New Roman" w:hAnsi="Calibri" w:cs="Times New Roman"/>
                      <w:lang w:eastAsia="fr-FR"/>
                    </w:rPr>
                    <w:t xml:space="preserve"> laver abondamment à l'eau et au savon.</w:t>
                  </w:r>
                </w:p>
              </w:tc>
            </w:tr>
            <w:tr w:rsidR="0032386E" w:rsidRPr="0032386E" w:rsidTr="0032386E">
              <w:trPr>
                <w:trHeight w:val="960"/>
              </w:trPr>
              <w:tc>
                <w:tcPr>
                  <w:tcW w:w="9940" w:type="dxa"/>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 xml:space="preserve">P305 + P351 + P338 – EN CAS DE CONTACT AVEC LES </w:t>
                  </w:r>
                  <w:proofErr w:type="gramStart"/>
                  <w:r w:rsidRPr="0032386E">
                    <w:rPr>
                      <w:rFonts w:ascii="Calibri" w:eastAsia="Times New Roman" w:hAnsi="Calibri" w:cs="Times New Roman"/>
                      <w:lang w:eastAsia="fr-FR"/>
                    </w:rPr>
                    <w:t>YEUX:</w:t>
                  </w:r>
                  <w:proofErr w:type="gramEnd"/>
                  <w:r w:rsidRPr="0032386E">
                    <w:rPr>
                      <w:rFonts w:ascii="Calibri" w:eastAsia="Times New Roman" w:hAnsi="Calibri" w:cs="Times New Roman"/>
                      <w:lang w:eastAsia="fr-FR"/>
                    </w:rPr>
                    <w:t xml:space="preserve"> rincer avec précaution à l'eau pendant plusieurs minutes. Enlever les lentilles de contact si la victime en porte et si elles peuvent être facilement enlevées. Continuer à rincer.</w:t>
                  </w:r>
                </w:p>
              </w:tc>
            </w:tr>
          </w:tbl>
          <w:p w:rsidR="0032386E" w:rsidRPr="0032386E" w:rsidRDefault="0032386E" w:rsidP="0032386E">
            <w:pPr>
              <w:spacing w:after="0" w:line="240" w:lineRule="auto"/>
              <w:rPr>
                <w:rFonts w:ascii="Calibri" w:eastAsia="Times New Roman" w:hAnsi="Calibri" w:cs="Times New Roman"/>
                <w:lang w:eastAsia="fr-FR"/>
              </w:rPr>
            </w:pPr>
          </w:p>
        </w:tc>
      </w:tr>
    </w:tbl>
    <w:p w:rsidR="0032386E" w:rsidRPr="0032386E" w:rsidRDefault="0032386E" w:rsidP="0032386E">
      <w:pPr>
        <w:spacing w:after="0" w:line="240" w:lineRule="auto"/>
        <w:jc w:val="both"/>
        <w:rPr>
          <w:rFonts w:ascii="Calibri" w:eastAsia="Times New Roman" w:hAnsi="Calibri" w:cs="Times New Roman"/>
          <w:b/>
          <w:bCs/>
          <w:color w:val="000000"/>
          <w:u w:val="single"/>
          <w:lang w:eastAsia="fr-FR"/>
        </w:rPr>
      </w:pPr>
      <w:r w:rsidRPr="0032386E">
        <w:rPr>
          <w:rFonts w:ascii="Calibri" w:eastAsia="Times New Roman" w:hAnsi="Calibri" w:cs="Times New Roman"/>
          <w:b/>
          <w:bCs/>
          <w:color w:val="000000"/>
          <w:u w:val="single"/>
          <w:lang w:eastAsia="fr-FR"/>
        </w:rPr>
        <w:t>Elimination</w:t>
      </w:r>
    </w:p>
    <w:p w:rsidR="0032386E" w:rsidRPr="0032386E" w:rsidRDefault="0032386E" w:rsidP="0032386E">
      <w:pPr>
        <w:spacing w:after="0" w:line="240" w:lineRule="auto"/>
        <w:jc w:val="both"/>
        <w:rPr>
          <w:rFonts w:ascii="Calibri" w:eastAsia="Times New Roman" w:hAnsi="Calibri" w:cs="Times New Roman"/>
          <w:lang w:eastAsia="fr-FR"/>
        </w:rPr>
      </w:pPr>
      <w:r w:rsidRPr="0032386E">
        <w:rPr>
          <w:rFonts w:ascii="Calibri" w:eastAsia="Times New Roman" w:hAnsi="Calibri" w:cs="Times New Roman"/>
          <w:lang w:eastAsia="fr-FR"/>
        </w:rPr>
        <w:t xml:space="preserve">P501 – Éliminer le récipient en le ramenant au point d'achat </w:t>
      </w:r>
      <w:proofErr w:type="spellStart"/>
      <w:r w:rsidRPr="0032386E">
        <w:rPr>
          <w:rFonts w:ascii="Calibri" w:eastAsia="Times New Roman" w:hAnsi="Calibri" w:cs="Times New Roman"/>
          <w:lang w:eastAsia="fr-FR"/>
        </w:rPr>
        <w:t>au</w:t>
      </w:r>
      <w:proofErr w:type="spellEnd"/>
      <w:r w:rsidRPr="0032386E">
        <w:rPr>
          <w:rFonts w:ascii="Calibri" w:eastAsia="Times New Roman" w:hAnsi="Calibri" w:cs="Times New Roman"/>
          <w:lang w:eastAsia="fr-FR"/>
        </w:rPr>
        <w:t xml:space="preserve"> dates prévues </w:t>
      </w:r>
      <w:proofErr w:type="spellStart"/>
      <w:proofErr w:type="gramStart"/>
      <w:r w:rsidRPr="0032386E">
        <w:rPr>
          <w:rFonts w:ascii="Calibri" w:eastAsia="Times New Roman" w:hAnsi="Calibri" w:cs="Times New Roman"/>
          <w:lang w:eastAsia="fr-FR"/>
        </w:rPr>
        <w:t>a</w:t>
      </w:r>
      <w:proofErr w:type="spellEnd"/>
      <w:proofErr w:type="gramEnd"/>
      <w:r w:rsidRPr="0032386E">
        <w:rPr>
          <w:rFonts w:ascii="Calibri" w:eastAsia="Times New Roman" w:hAnsi="Calibri" w:cs="Times New Roman"/>
          <w:lang w:eastAsia="fr-FR"/>
        </w:rPr>
        <w:t xml:space="preserve"> cet effet.</w:t>
      </w:r>
    </w:p>
    <w:tbl>
      <w:tblPr>
        <w:tblW w:w="10485" w:type="dxa"/>
        <w:tblCellMar>
          <w:left w:w="70" w:type="dxa"/>
          <w:right w:w="70" w:type="dxa"/>
        </w:tblCellMar>
        <w:tblLook w:val="04A0" w:firstRow="1" w:lastRow="0" w:firstColumn="1" w:lastColumn="0" w:noHBand="0" w:noVBand="1"/>
      </w:tblPr>
      <w:tblGrid>
        <w:gridCol w:w="2689"/>
        <w:gridCol w:w="7796"/>
      </w:tblGrid>
      <w:tr w:rsidR="0032386E" w:rsidRPr="0032386E" w:rsidTr="0032386E">
        <w:trPr>
          <w:trHeight w:val="4005"/>
        </w:trPr>
        <w:tc>
          <w:tcPr>
            <w:tcW w:w="2689" w:type="dxa"/>
            <w:tcBorders>
              <w:top w:val="single" w:sz="4" w:space="0" w:color="auto"/>
              <w:left w:val="single" w:sz="4" w:space="0" w:color="auto"/>
              <w:bottom w:val="nil"/>
              <w:right w:val="single" w:sz="4" w:space="0" w:color="000000"/>
            </w:tcBorders>
            <w:shd w:val="clear" w:color="auto" w:fill="auto"/>
            <w:vAlign w:val="center"/>
            <w:hideMark/>
          </w:tcPr>
          <w:p w:rsidR="0032386E" w:rsidRPr="0032386E" w:rsidRDefault="0032386E" w:rsidP="0032386E">
            <w:pPr>
              <w:spacing w:after="0" w:line="240" w:lineRule="auto"/>
              <w:rPr>
                <w:rFonts w:ascii="Calibri" w:eastAsia="Times New Roman" w:hAnsi="Calibri" w:cs="Times New Roman"/>
                <w:b/>
                <w:bCs/>
                <w:lang w:eastAsia="fr-FR"/>
              </w:rPr>
            </w:pPr>
            <w:r w:rsidRPr="0032386E">
              <w:rPr>
                <w:rFonts w:ascii="Calibri" w:eastAsia="Times New Roman" w:hAnsi="Calibri" w:cs="Times New Roman"/>
                <w:b/>
                <w:bCs/>
                <w:lang w:eastAsia="fr-FR"/>
              </w:rPr>
              <w:lastRenderedPageBreak/>
              <w:t>Abréviations et acronymes</w:t>
            </w:r>
          </w:p>
        </w:tc>
        <w:tc>
          <w:tcPr>
            <w:tcW w:w="7796" w:type="dxa"/>
            <w:tcBorders>
              <w:top w:val="single" w:sz="4" w:space="0" w:color="auto"/>
              <w:left w:val="nil"/>
              <w:bottom w:val="nil"/>
              <w:right w:val="single" w:sz="4" w:space="0" w:color="000000"/>
            </w:tcBorders>
            <w:shd w:val="clear" w:color="auto" w:fill="auto"/>
            <w:vAlign w:val="center"/>
            <w:hideMark/>
          </w:tcPr>
          <w:p w:rsidR="0032386E" w:rsidRPr="0032386E" w:rsidRDefault="0032386E" w:rsidP="0032386E">
            <w:pPr>
              <w:spacing w:after="0" w:line="240" w:lineRule="auto"/>
              <w:rPr>
                <w:rFonts w:ascii="Calibri" w:eastAsia="Times New Roman" w:hAnsi="Calibri" w:cs="Times New Roman"/>
                <w:lang w:eastAsia="fr-FR"/>
              </w:rPr>
            </w:pPr>
            <w:r w:rsidRPr="0032386E">
              <w:rPr>
                <w:rFonts w:ascii="Calibri" w:eastAsia="Times New Roman" w:hAnsi="Calibri" w:cs="Times New Roman"/>
                <w:lang w:eastAsia="fr-FR"/>
              </w:rPr>
              <w:t>VLA-ED : Valeur limite de moyenne d’exposition</w:t>
            </w:r>
            <w:r w:rsidRPr="0032386E">
              <w:rPr>
                <w:rFonts w:ascii="Calibri" w:eastAsia="Times New Roman" w:hAnsi="Calibri" w:cs="Times New Roman"/>
                <w:lang w:eastAsia="fr-FR"/>
              </w:rPr>
              <w:br/>
              <w:t>VLA-EC : Valeur limite d’exposition à court terme</w:t>
            </w:r>
            <w:r w:rsidRPr="0032386E">
              <w:rPr>
                <w:rFonts w:ascii="Calibri" w:eastAsia="Times New Roman" w:hAnsi="Calibri" w:cs="Times New Roman"/>
                <w:lang w:eastAsia="fr-FR"/>
              </w:rPr>
              <w:br/>
              <w:t>NOAEL : Concentration sans effet néfaste observé</w:t>
            </w:r>
            <w:r w:rsidRPr="0032386E">
              <w:rPr>
                <w:rFonts w:ascii="Calibri" w:eastAsia="Times New Roman" w:hAnsi="Calibri" w:cs="Times New Roman"/>
                <w:lang w:eastAsia="fr-FR"/>
              </w:rPr>
              <w:br/>
              <w:t>DNEL : Concentration sans effet dérivé</w:t>
            </w:r>
            <w:r w:rsidRPr="0032386E">
              <w:rPr>
                <w:rFonts w:ascii="Calibri" w:eastAsia="Times New Roman" w:hAnsi="Calibri" w:cs="Times New Roman"/>
                <w:lang w:eastAsia="fr-FR"/>
              </w:rPr>
              <w:br/>
              <w:t>PNEC : Concentration prévisible sans effet</w:t>
            </w:r>
            <w:r w:rsidRPr="0032386E">
              <w:rPr>
                <w:rFonts w:ascii="Calibri" w:eastAsia="Times New Roman" w:hAnsi="Calibri" w:cs="Times New Roman"/>
                <w:lang w:eastAsia="fr-FR"/>
              </w:rPr>
              <w:br/>
              <w:t>EC50 : Concentration effective moyenne. Concentration du composant</w:t>
            </w:r>
            <w:r w:rsidRPr="0032386E">
              <w:rPr>
                <w:rFonts w:ascii="Calibri" w:eastAsia="Times New Roman" w:hAnsi="Calibri" w:cs="Times New Roman"/>
                <w:lang w:eastAsia="fr-FR"/>
              </w:rPr>
              <w:br/>
              <w:t>qui affecte 50% des organismes testés.</w:t>
            </w:r>
            <w:r w:rsidRPr="0032386E">
              <w:rPr>
                <w:rFonts w:ascii="Calibri" w:eastAsia="Times New Roman" w:hAnsi="Calibri" w:cs="Times New Roman"/>
                <w:lang w:eastAsia="fr-FR"/>
              </w:rPr>
              <w:br/>
              <w:t>DL50 : Dose létale. Dose d’une matière qui provoque la mort de 50% des</w:t>
            </w:r>
            <w:r w:rsidRPr="0032386E">
              <w:rPr>
                <w:rFonts w:ascii="Calibri" w:eastAsia="Times New Roman" w:hAnsi="Calibri" w:cs="Times New Roman"/>
                <w:lang w:eastAsia="fr-FR"/>
              </w:rPr>
              <w:br/>
              <w:t>organismes testés.</w:t>
            </w:r>
            <w:r w:rsidRPr="0032386E">
              <w:rPr>
                <w:rFonts w:ascii="Calibri" w:eastAsia="Times New Roman" w:hAnsi="Calibri" w:cs="Times New Roman"/>
                <w:lang w:eastAsia="fr-FR"/>
              </w:rPr>
              <w:br/>
              <w:t>LC50 : Concentration létale. Quantité d’une matière qui provoque la</w:t>
            </w:r>
            <w:r w:rsidRPr="0032386E">
              <w:rPr>
                <w:rFonts w:ascii="Calibri" w:eastAsia="Times New Roman" w:hAnsi="Calibri" w:cs="Times New Roman"/>
                <w:lang w:eastAsia="fr-FR"/>
              </w:rPr>
              <w:br/>
              <w:t>mort de 50% des organismes testés.</w:t>
            </w:r>
            <w:r w:rsidRPr="0032386E">
              <w:rPr>
                <w:rFonts w:ascii="Calibri" w:eastAsia="Times New Roman" w:hAnsi="Calibri" w:cs="Times New Roman"/>
                <w:lang w:eastAsia="fr-FR"/>
              </w:rPr>
              <w:br/>
              <w:t>N/D : Non disponible ; N/A : Non applicable</w:t>
            </w:r>
            <w:r w:rsidRPr="0032386E">
              <w:rPr>
                <w:rFonts w:ascii="Calibri" w:eastAsia="Times New Roman" w:hAnsi="Calibri" w:cs="Times New Roman"/>
                <w:lang w:eastAsia="fr-FR"/>
              </w:rPr>
              <w:br/>
              <w:t>DSD : Directive 65/548/CEE ; CLP : Règlement 1272/2008</w:t>
            </w:r>
          </w:p>
        </w:tc>
        <w:bookmarkStart w:id="0" w:name="_GoBack"/>
        <w:bookmarkEnd w:id="0"/>
      </w:tr>
      <w:tr w:rsidR="0032386E" w:rsidRPr="0032386E" w:rsidTr="0032386E">
        <w:trPr>
          <w:trHeight w:val="300"/>
        </w:trPr>
        <w:tc>
          <w:tcPr>
            <w:tcW w:w="2689" w:type="dxa"/>
            <w:tcBorders>
              <w:top w:val="nil"/>
              <w:left w:val="single" w:sz="4" w:space="0" w:color="auto"/>
              <w:bottom w:val="nil"/>
              <w:right w:val="single" w:sz="4" w:space="0" w:color="000000"/>
            </w:tcBorders>
            <w:shd w:val="clear" w:color="auto" w:fill="auto"/>
            <w:hideMark/>
          </w:tcPr>
          <w:p w:rsidR="0032386E" w:rsidRPr="0032386E" w:rsidRDefault="0032386E" w:rsidP="0032386E">
            <w:pPr>
              <w:spacing w:after="0" w:line="240" w:lineRule="auto"/>
              <w:rPr>
                <w:rFonts w:ascii="Calibri" w:eastAsia="Times New Roman" w:hAnsi="Calibri" w:cs="Times New Roman"/>
                <w:b/>
                <w:bCs/>
                <w:lang w:eastAsia="fr-FR"/>
              </w:rPr>
            </w:pPr>
            <w:r w:rsidRPr="0032386E">
              <w:rPr>
                <w:rFonts w:ascii="Calibri" w:eastAsia="Times New Roman" w:hAnsi="Calibri" w:cs="Times New Roman"/>
                <w:b/>
                <w:bCs/>
                <w:lang w:eastAsia="fr-FR"/>
              </w:rPr>
              <w:t>Formation appropriée pour les travailleurs</w:t>
            </w:r>
          </w:p>
        </w:tc>
        <w:tc>
          <w:tcPr>
            <w:tcW w:w="7796" w:type="dxa"/>
            <w:tcBorders>
              <w:top w:val="nil"/>
              <w:left w:val="nil"/>
              <w:bottom w:val="nil"/>
              <w:right w:val="single" w:sz="4" w:space="0" w:color="000000"/>
            </w:tcBorders>
            <w:shd w:val="clear" w:color="auto" w:fill="auto"/>
            <w:hideMark/>
          </w:tcPr>
          <w:p w:rsidR="0032386E" w:rsidRPr="0032386E" w:rsidRDefault="0032386E" w:rsidP="0032386E">
            <w:pPr>
              <w:spacing w:after="0" w:line="240" w:lineRule="auto"/>
              <w:rPr>
                <w:rFonts w:ascii="Calibri" w:eastAsia="Times New Roman" w:hAnsi="Calibri" w:cs="Times New Roman"/>
                <w:color w:val="000000"/>
                <w:lang w:eastAsia="fr-FR"/>
              </w:rPr>
            </w:pPr>
            <w:r w:rsidRPr="0032386E">
              <w:rPr>
                <w:rFonts w:ascii="Calibri" w:eastAsia="Times New Roman" w:hAnsi="Calibri" w:cs="Times New Roman"/>
                <w:color w:val="000000"/>
                <w:lang w:eastAsia="fr-FR"/>
              </w:rPr>
              <w:t>Formation obligatoire en matière de Prévention des Risques Professionnels</w:t>
            </w:r>
          </w:p>
        </w:tc>
      </w:tr>
      <w:tr w:rsidR="0032386E" w:rsidRPr="0032386E" w:rsidTr="0032386E">
        <w:trPr>
          <w:trHeight w:val="345"/>
        </w:trPr>
        <w:tc>
          <w:tcPr>
            <w:tcW w:w="2689" w:type="dxa"/>
            <w:tcBorders>
              <w:top w:val="nil"/>
              <w:left w:val="single" w:sz="4" w:space="0" w:color="auto"/>
              <w:bottom w:val="single" w:sz="4" w:space="0" w:color="auto"/>
              <w:right w:val="single" w:sz="4" w:space="0" w:color="000000"/>
            </w:tcBorders>
            <w:shd w:val="clear" w:color="auto" w:fill="auto"/>
            <w:hideMark/>
          </w:tcPr>
          <w:p w:rsidR="0032386E" w:rsidRPr="0032386E" w:rsidRDefault="0032386E" w:rsidP="0032386E">
            <w:pPr>
              <w:spacing w:after="0" w:line="240" w:lineRule="auto"/>
              <w:rPr>
                <w:rFonts w:ascii="Calibri" w:eastAsia="Times New Roman" w:hAnsi="Calibri" w:cs="Times New Roman"/>
                <w:b/>
                <w:bCs/>
                <w:lang w:eastAsia="fr-FR"/>
              </w:rPr>
            </w:pPr>
            <w:r w:rsidRPr="0032386E">
              <w:rPr>
                <w:rFonts w:ascii="Calibri" w:eastAsia="Times New Roman" w:hAnsi="Calibri" w:cs="Times New Roman"/>
                <w:b/>
                <w:bCs/>
                <w:lang w:eastAsia="fr-FR"/>
              </w:rPr>
              <w:t>Modifications apportées à la révision actuelle</w:t>
            </w:r>
          </w:p>
        </w:tc>
        <w:tc>
          <w:tcPr>
            <w:tcW w:w="7796" w:type="dxa"/>
            <w:tcBorders>
              <w:top w:val="nil"/>
              <w:left w:val="nil"/>
              <w:bottom w:val="single" w:sz="4" w:space="0" w:color="auto"/>
              <w:right w:val="single" w:sz="4" w:space="0" w:color="000000"/>
            </w:tcBorders>
            <w:shd w:val="clear" w:color="auto" w:fill="auto"/>
            <w:hideMark/>
          </w:tcPr>
          <w:p w:rsidR="0032386E" w:rsidRPr="0032386E" w:rsidRDefault="0032386E" w:rsidP="0032386E">
            <w:pPr>
              <w:spacing w:after="0" w:line="240" w:lineRule="auto"/>
              <w:rPr>
                <w:rFonts w:ascii="Calibri" w:eastAsia="Times New Roman" w:hAnsi="Calibri" w:cs="Times New Roman"/>
                <w:color w:val="000000"/>
                <w:lang w:eastAsia="fr-FR"/>
              </w:rPr>
            </w:pPr>
            <w:r w:rsidRPr="0032386E">
              <w:rPr>
                <w:rFonts w:ascii="Calibri" w:eastAsia="Times New Roman" w:hAnsi="Calibri" w:cs="Times New Roman"/>
                <w:color w:val="000000"/>
                <w:lang w:eastAsia="fr-FR"/>
              </w:rPr>
              <w:t>Adaptation au REACH et au Règlement 453/2010</w:t>
            </w:r>
          </w:p>
        </w:tc>
      </w:tr>
    </w:tbl>
    <w:p w:rsidR="00E25F43" w:rsidRDefault="00E25F43" w:rsidP="00331B6C">
      <w:pPr>
        <w:spacing w:after="0"/>
        <w:jc w:val="both"/>
        <w:rPr>
          <w:rFonts w:ascii="Calibri" w:eastAsia="Times New Roman" w:hAnsi="Calibri" w:cs="Times New Roman"/>
          <w:color w:val="000000"/>
          <w:lang w:eastAsia="fr-FR"/>
        </w:rPr>
      </w:pPr>
    </w:p>
    <w:p w:rsidR="00DE10CF" w:rsidRDefault="00DE10CF" w:rsidP="00331B6C">
      <w:pPr>
        <w:spacing w:after="0"/>
        <w:jc w:val="both"/>
        <w:rPr>
          <w:rFonts w:ascii="Calibri" w:eastAsia="Times New Roman" w:hAnsi="Calibri" w:cs="Times New Roman"/>
          <w:color w:val="000000"/>
          <w:lang w:eastAsia="fr-FR"/>
        </w:rPr>
      </w:pPr>
    </w:p>
    <w:tbl>
      <w:tblPr>
        <w:tblStyle w:val="Grilledutableau"/>
        <w:tblW w:w="0" w:type="auto"/>
        <w:tblBorders>
          <w:top w:val="single" w:sz="12" w:space="0" w:color="auto"/>
          <w:left w:val="none" w:sz="0" w:space="0" w:color="auto"/>
          <w:bottom w:val="none" w:sz="0" w:space="0" w:color="auto"/>
          <w:right w:val="none" w:sz="0" w:space="0" w:color="auto"/>
        </w:tblBorders>
        <w:tblLook w:val="04A0" w:firstRow="1" w:lastRow="0" w:firstColumn="1" w:lastColumn="0" w:noHBand="0" w:noVBand="1"/>
      </w:tblPr>
      <w:tblGrid>
        <w:gridCol w:w="9780"/>
      </w:tblGrid>
      <w:tr w:rsidR="0006432F" w:rsidTr="0006432F">
        <w:tc>
          <w:tcPr>
            <w:tcW w:w="9920" w:type="dxa"/>
          </w:tcPr>
          <w:p w:rsidR="0006432F" w:rsidRPr="007B62CE" w:rsidRDefault="0006432F" w:rsidP="0006432F">
            <w:pPr>
              <w:jc w:val="both"/>
              <w:rPr>
                <w:rFonts w:ascii="Calibri" w:eastAsia="Times New Roman" w:hAnsi="Calibri" w:cs="Times New Roman"/>
                <w:color w:val="000000"/>
                <w:sz w:val="16"/>
                <w:szCs w:val="16"/>
                <w:lang w:eastAsia="fr-FR"/>
              </w:rPr>
            </w:pPr>
            <w:r w:rsidRPr="007B62CE">
              <w:rPr>
                <w:rFonts w:ascii="Calibri" w:eastAsia="Times New Roman" w:hAnsi="Calibri" w:cs="Times New Roman"/>
                <w:color w:val="000000"/>
                <w:sz w:val="16"/>
                <w:szCs w:val="16"/>
                <w:lang w:eastAsia="fr-FR"/>
              </w:rPr>
              <w:t>Les renseignements que contient cette FDS sont basés sur l'état de nos connaissances relatives au produit concerné, à la date de mise à jour et sur les FDS des substances ou mélanges qui le composent. Ils sont donnés de bonne foi. L'attention des utilisateurs est en outre attirée sur les risques éventuellement encourus lorsqu'un produit est utilisé à d'autres usages que ceux pour lesquels il est conçu.</w:t>
            </w:r>
          </w:p>
          <w:p w:rsidR="0006432F" w:rsidRPr="007B62CE" w:rsidRDefault="0006432F" w:rsidP="0006432F">
            <w:pPr>
              <w:jc w:val="both"/>
              <w:rPr>
                <w:rFonts w:ascii="Calibri" w:eastAsia="Times New Roman" w:hAnsi="Calibri" w:cs="Times New Roman"/>
                <w:color w:val="000000"/>
                <w:sz w:val="16"/>
                <w:szCs w:val="16"/>
                <w:lang w:eastAsia="fr-FR"/>
              </w:rPr>
            </w:pPr>
            <w:r w:rsidRPr="007B62CE">
              <w:rPr>
                <w:rFonts w:ascii="Calibri" w:eastAsia="Times New Roman" w:hAnsi="Calibri" w:cs="Times New Roman"/>
                <w:color w:val="000000"/>
                <w:sz w:val="16"/>
                <w:szCs w:val="16"/>
                <w:lang w:eastAsia="fr-FR"/>
              </w:rPr>
              <w:t>Elle ne dispense en aucun cas l'utilisateur de connaître et d'appliquer l'ensemble des textes réglementant son activité. Il prendra sous sa seule responsabilité les précautions liées à l'utilisation du produit qu'il connaît.</w:t>
            </w:r>
          </w:p>
          <w:p w:rsidR="0006432F" w:rsidRPr="007B62CE" w:rsidRDefault="0006432F" w:rsidP="0006432F">
            <w:pPr>
              <w:jc w:val="both"/>
              <w:rPr>
                <w:rFonts w:ascii="Calibri" w:eastAsia="Times New Roman" w:hAnsi="Calibri" w:cs="Times New Roman"/>
                <w:color w:val="000000"/>
                <w:sz w:val="16"/>
                <w:szCs w:val="16"/>
                <w:lang w:eastAsia="fr-FR"/>
              </w:rPr>
            </w:pPr>
            <w:r w:rsidRPr="007B62CE">
              <w:rPr>
                <w:rFonts w:ascii="Calibri" w:eastAsia="Times New Roman" w:hAnsi="Calibri" w:cs="Times New Roman"/>
                <w:color w:val="000000"/>
                <w:sz w:val="16"/>
                <w:szCs w:val="16"/>
                <w:lang w:eastAsia="fr-FR"/>
              </w:rPr>
              <w:t>L'ensemble des prescriptions réglementaires mentionnées a simplement pour but d'aider le destinataire à remplir les obligations qui lui incombent lors de l'utilisation d'un produit dangereux.</w:t>
            </w:r>
          </w:p>
          <w:p w:rsidR="0006432F" w:rsidRPr="007B62CE" w:rsidRDefault="0006432F" w:rsidP="00331B6C">
            <w:pPr>
              <w:jc w:val="both"/>
              <w:rPr>
                <w:rFonts w:ascii="Calibri" w:eastAsia="Times New Roman" w:hAnsi="Calibri" w:cs="Times New Roman"/>
                <w:color w:val="000000"/>
                <w:sz w:val="14"/>
                <w:szCs w:val="14"/>
                <w:lang w:eastAsia="fr-FR"/>
              </w:rPr>
            </w:pPr>
            <w:r w:rsidRPr="007B62CE">
              <w:rPr>
                <w:rFonts w:ascii="Calibri" w:eastAsia="Times New Roman" w:hAnsi="Calibri" w:cs="Times New Roman"/>
                <w:color w:val="000000"/>
                <w:sz w:val="16"/>
                <w:szCs w:val="16"/>
                <w:lang w:eastAsia="fr-FR"/>
              </w:rPr>
              <w:t>Cette énumération ne doit pas être considérée comme exhaustive. Elle n'exonère pas l'utilisateur de s'assurer que d'autres obligations ne lui incombent en raison de textes autres que ceux cités et régissant la détention et l'utilisation du produit, pour lesquelles il est seul responsable.</w:t>
            </w:r>
          </w:p>
        </w:tc>
      </w:tr>
    </w:tbl>
    <w:p w:rsidR="00506A7E" w:rsidRDefault="00506A7E" w:rsidP="00331B6C">
      <w:pPr>
        <w:spacing w:after="0"/>
        <w:jc w:val="both"/>
        <w:rPr>
          <w:rFonts w:ascii="Calibri" w:eastAsia="Times New Roman" w:hAnsi="Calibri" w:cs="Times New Roman"/>
          <w:color w:val="000000"/>
          <w:sz w:val="14"/>
          <w:szCs w:val="14"/>
          <w:lang w:eastAsia="fr-FR"/>
        </w:rPr>
      </w:pPr>
    </w:p>
    <w:p w:rsidR="0006432F" w:rsidRPr="00524542" w:rsidRDefault="0006432F" w:rsidP="007B62CE">
      <w:pPr>
        <w:spacing w:after="0"/>
        <w:jc w:val="center"/>
        <w:rPr>
          <w:rFonts w:ascii="Calibri" w:eastAsia="Times New Roman" w:hAnsi="Calibri" w:cs="Times New Roman"/>
          <w:color w:val="000000"/>
          <w:sz w:val="14"/>
          <w:szCs w:val="14"/>
          <w:lang w:eastAsia="fr-FR"/>
        </w:rPr>
      </w:pPr>
    </w:p>
    <w:sectPr w:rsidR="0006432F" w:rsidRPr="00524542" w:rsidSect="00C5501B">
      <w:headerReference w:type="default" r:id="rId9"/>
      <w:footerReference w:type="default" r:id="rId10"/>
      <w:pgSz w:w="11906" w:h="16838"/>
      <w:pgMar w:top="993" w:right="1133"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C64" w:rsidRDefault="00902C64" w:rsidP="004672F2">
      <w:pPr>
        <w:spacing w:after="0" w:line="240" w:lineRule="auto"/>
      </w:pPr>
      <w:r>
        <w:separator/>
      </w:r>
    </w:p>
  </w:endnote>
  <w:endnote w:type="continuationSeparator" w:id="0">
    <w:p w:rsidR="00902C64" w:rsidRDefault="00902C64" w:rsidP="00467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jc w:val="center"/>
      <w:tblBorders>
        <w:top w:val="single" w:sz="12" w:space="0" w:color="auto"/>
        <w:left w:val="none" w:sz="0" w:space="0" w:color="auto"/>
        <w:bottom w:val="none" w:sz="0" w:space="0" w:color="auto"/>
        <w:right w:val="none" w:sz="0" w:space="0" w:color="auto"/>
      </w:tblBorders>
      <w:tblLook w:val="04A0" w:firstRow="1" w:lastRow="0" w:firstColumn="1" w:lastColumn="0" w:noHBand="0" w:noVBand="1"/>
    </w:tblPr>
    <w:tblGrid>
      <w:gridCol w:w="9780"/>
    </w:tblGrid>
    <w:tr w:rsidR="001B767A" w:rsidTr="004F2AD4">
      <w:trPr>
        <w:jc w:val="center"/>
      </w:trPr>
      <w:tc>
        <w:tcPr>
          <w:tcW w:w="9920" w:type="dxa"/>
        </w:tcPr>
        <w:p w:rsidR="001B767A" w:rsidRDefault="004F2AD4" w:rsidP="004F2AD4">
          <w:pPr>
            <w:pStyle w:val="Pieddepage"/>
            <w:ind w:hanging="142"/>
            <w:jc w:val="center"/>
          </w:pPr>
          <w:r>
            <w:rPr>
              <w:noProof/>
              <w:lang w:eastAsia="fr-FR"/>
            </w:rPr>
            <w:drawing>
              <wp:inline distT="0" distB="0" distL="0" distR="0">
                <wp:extent cx="380301" cy="431800"/>
                <wp:effectExtent l="19050" t="0" r="699" b="0"/>
                <wp:docPr id="1" name="Image 0" descr="Logo 2F format courri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F format courriel.jpg"/>
                        <pic:cNvPicPr/>
                      </pic:nvPicPr>
                      <pic:blipFill>
                        <a:blip r:embed="rId1"/>
                        <a:stretch>
                          <a:fillRect/>
                        </a:stretch>
                      </pic:blipFill>
                      <pic:spPr>
                        <a:xfrm>
                          <a:off x="0" y="0"/>
                          <a:ext cx="382641" cy="434457"/>
                        </a:xfrm>
                        <a:prstGeom prst="rect">
                          <a:avLst/>
                        </a:prstGeom>
                      </pic:spPr>
                    </pic:pic>
                  </a:graphicData>
                </a:graphic>
              </wp:inline>
            </w:drawing>
          </w:r>
        </w:p>
      </w:tc>
    </w:tr>
  </w:tbl>
  <w:p w:rsidR="001B767A" w:rsidRPr="004F2AD4" w:rsidRDefault="001B767A">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C64" w:rsidRDefault="00902C64" w:rsidP="004672F2">
      <w:pPr>
        <w:spacing w:after="0" w:line="240" w:lineRule="auto"/>
      </w:pPr>
      <w:r>
        <w:separator/>
      </w:r>
    </w:p>
  </w:footnote>
  <w:footnote w:type="continuationSeparator" w:id="0">
    <w:p w:rsidR="00902C64" w:rsidRDefault="00902C64" w:rsidP="00467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000066"/>
      <w:tblLook w:val="04A0" w:firstRow="1" w:lastRow="0" w:firstColumn="1" w:lastColumn="0" w:noHBand="0" w:noVBand="1"/>
    </w:tblPr>
    <w:tblGrid>
      <w:gridCol w:w="3139"/>
      <w:gridCol w:w="3252"/>
      <w:gridCol w:w="3251"/>
    </w:tblGrid>
    <w:tr w:rsidR="0094121F" w:rsidTr="0094121F">
      <w:tc>
        <w:tcPr>
          <w:tcW w:w="6505" w:type="dxa"/>
          <w:gridSpan w:val="2"/>
          <w:tcBorders>
            <w:top w:val="single" w:sz="12" w:space="0" w:color="auto"/>
            <w:left w:val="single" w:sz="12" w:space="0" w:color="auto"/>
            <w:bottom w:val="single" w:sz="12" w:space="0" w:color="auto"/>
            <w:right w:val="single" w:sz="12" w:space="0" w:color="auto"/>
          </w:tcBorders>
          <w:shd w:val="clear" w:color="auto" w:fill="000066"/>
          <w:vAlign w:val="center"/>
          <w:hideMark/>
        </w:tcPr>
        <w:p w:rsidR="0094121F" w:rsidRDefault="0094121F">
          <w:pPr>
            <w:spacing w:before="60" w:after="60"/>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Fiche de donnée de sécurité (FDS) n°1</w:t>
          </w:r>
          <w:r w:rsidR="00126984">
            <w:rPr>
              <w:rFonts w:ascii="Calibri" w:eastAsia="Times New Roman" w:hAnsi="Calibri" w:cs="Times New Roman"/>
              <w:b/>
              <w:bCs/>
              <w:color w:val="FFFFFF" w:themeColor="background1"/>
              <w:sz w:val="28"/>
              <w:szCs w:val="28"/>
              <w:lang w:eastAsia="fr-FR"/>
            </w:rPr>
            <w:t>1</w:t>
          </w:r>
        </w:p>
      </w:tc>
      <w:tc>
        <w:tcPr>
          <w:tcW w:w="3307" w:type="dxa"/>
          <w:tcBorders>
            <w:top w:val="single" w:sz="12" w:space="0" w:color="auto"/>
            <w:left w:val="single" w:sz="12" w:space="0" w:color="auto"/>
            <w:bottom w:val="single" w:sz="12" w:space="0" w:color="auto"/>
            <w:right w:val="single" w:sz="12" w:space="0" w:color="auto"/>
          </w:tcBorders>
          <w:shd w:val="clear" w:color="auto" w:fill="000066"/>
          <w:vAlign w:val="center"/>
          <w:hideMark/>
        </w:tcPr>
        <w:p w:rsidR="0094121F" w:rsidRDefault="0032386E">
          <w:pPr>
            <w:spacing w:before="60" w:after="60"/>
            <w:jc w:val="center"/>
            <w:rPr>
              <w:rFonts w:ascii="Calibri" w:eastAsia="Times New Roman" w:hAnsi="Calibri" w:cs="Times New Roman"/>
              <w:b/>
              <w:bCs/>
              <w:color w:val="FFFFFF" w:themeColor="background1"/>
              <w:sz w:val="28"/>
              <w:szCs w:val="28"/>
              <w:lang w:eastAsia="fr-FR"/>
            </w:rPr>
          </w:pPr>
          <w:sdt>
            <w:sdtPr>
              <w:rPr>
                <w:b/>
                <w:color w:val="FFFFFF" w:themeColor="background1"/>
                <w:sz w:val="28"/>
                <w:szCs w:val="28"/>
              </w:rPr>
              <w:id w:val="250395305"/>
              <w:docPartObj>
                <w:docPartGallery w:val="Page Numbers (Top of Page)"/>
                <w:docPartUnique/>
              </w:docPartObj>
            </w:sdtPr>
            <w:sdtEndPr/>
            <w:sdtContent>
              <w:r w:rsidR="0094121F">
                <w:rPr>
                  <w:b/>
                  <w:color w:val="FFFFFF" w:themeColor="background1"/>
                </w:rPr>
                <w:t xml:space="preserve">Page </w:t>
              </w:r>
              <w:r w:rsidR="0094121F">
                <w:rPr>
                  <w:b/>
                  <w:color w:val="FFFFFF" w:themeColor="background1"/>
                </w:rPr>
                <w:fldChar w:fldCharType="begin"/>
              </w:r>
              <w:r w:rsidR="0094121F">
                <w:rPr>
                  <w:b/>
                  <w:color w:val="FFFFFF" w:themeColor="background1"/>
                </w:rPr>
                <w:instrText xml:space="preserve"> PAGE </w:instrText>
              </w:r>
              <w:r w:rsidR="0094121F">
                <w:rPr>
                  <w:b/>
                  <w:color w:val="FFFFFF" w:themeColor="background1"/>
                </w:rPr>
                <w:fldChar w:fldCharType="separate"/>
              </w:r>
              <w:r>
                <w:rPr>
                  <w:b/>
                  <w:noProof/>
                  <w:color w:val="FFFFFF" w:themeColor="background1"/>
                </w:rPr>
                <w:t>9</w:t>
              </w:r>
              <w:r w:rsidR="0094121F">
                <w:rPr>
                  <w:b/>
                  <w:color w:val="FFFFFF" w:themeColor="background1"/>
                </w:rPr>
                <w:fldChar w:fldCharType="end"/>
              </w:r>
              <w:r w:rsidR="0094121F">
                <w:rPr>
                  <w:b/>
                  <w:color w:val="FFFFFF" w:themeColor="background1"/>
                </w:rPr>
                <w:t xml:space="preserve"> sur </w:t>
              </w:r>
              <w:r w:rsidR="0094121F">
                <w:rPr>
                  <w:b/>
                  <w:color w:val="FFFFFF" w:themeColor="background1"/>
                </w:rPr>
                <w:fldChar w:fldCharType="begin"/>
              </w:r>
              <w:r w:rsidR="0094121F">
                <w:rPr>
                  <w:b/>
                  <w:color w:val="FFFFFF" w:themeColor="background1"/>
                </w:rPr>
                <w:instrText xml:space="preserve"> NUMPAGES  </w:instrText>
              </w:r>
              <w:r w:rsidR="0094121F">
                <w:rPr>
                  <w:b/>
                  <w:color w:val="FFFFFF" w:themeColor="background1"/>
                </w:rPr>
                <w:fldChar w:fldCharType="separate"/>
              </w:r>
              <w:r>
                <w:rPr>
                  <w:b/>
                  <w:noProof/>
                  <w:color w:val="FFFFFF" w:themeColor="background1"/>
                </w:rPr>
                <w:t>9</w:t>
              </w:r>
              <w:r w:rsidR="0094121F">
                <w:rPr>
                  <w:b/>
                  <w:color w:val="FFFFFF" w:themeColor="background1"/>
                </w:rPr>
                <w:fldChar w:fldCharType="end"/>
              </w:r>
            </w:sdtContent>
          </w:sdt>
        </w:p>
      </w:tc>
    </w:tr>
    <w:tr w:rsidR="0094121F" w:rsidTr="0094121F">
      <w:tc>
        <w:tcPr>
          <w:tcW w:w="9812" w:type="dxa"/>
          <w:gridSpan w:val="3"/>
          <w:tcBorders>
            <w:top w:val="single" w:sz="12" w:space="0" w:color="auto"/>
            <w:left w:val="single" w:sz="12" w:space="0" w:color="auto"/>
            <w:bottom w:val="single" w:sz="12" w:space="0" w:color="auto"/>
            <w:right w:val="single" w:sz="12" w:space="0" w:color="auto"/>
          </w:tcBorders>
          <w:shd w:val="clear" w:color="auto" w:fill="000066"/>
          <w:vAlign w:val="center"/>
          <w:hideMark/>
        </w:tcPr>
        <w:p w:rsidR="0094121F" w:rsidRDefault="00126984">
          <w:pPr>
            <w:spacing w:before="60" w:after="60"/>
            <w:jc w:val="center"/>
            <w:rPr>
              <w:rFonts w:ascii="Calibri" w:eastAsia="Times New Roman" w:hAnsi="Calibri" w:cs="Times New Roman"/>
              <w:b/>
              <w:bCs/>
              <w:color w:val="FFFFFF" w:themeColor="background1"/>
              <w:sz w:val="28"/>
              <w:szCs w:val="28"/>
              <w:lang w:eastAsia="fr-FR"/>
            </w:rPr>
          </w:pPr>
          <w:r w:rsidRPr="00126984">
            <w:rPr>
              <w:rFonts w:ascii="Calibri" w:eastAsia="Times New Roman" w:hAnsi="Calibri" w:cs="Times New Roman"/>
              <w:b/>
              <w:bCs/>
              <w:color w:val="FFFFFF" w:themeColor="background1"/>
              <w:sz w:val="32"/>
              <w:szCs w:val="32"/>
              <w:lang w:eastAsia="fr-FR"/>
            </w:rPr>
            <w:t>MULTIFOS 0-25-0</w:t>
          </w:r>
        </w:p>
      </w:tc>
    </w:tr>
    <w:tr w:rsidR="0094121F" w:rsidTr="0094121F">
      <w:tc>
        <w:tcPr>
          <w:tcW w:w="3198" w:type="dxa"/>
          <w:tcBorders>
            <w:top w:val="single" w:sz="12" w:space="0" w:color="auto"/>
            <w:left w:val="single" w:sz="12" w:space="0" w:color="auto"/>
            <w:bottom w:val="single" w:sz="12" w:space="0" w:color="auto"/>
            <w:right w:val="single" w:sz="12" w:space="0" w:color="auto"/>
          </w:tcBorders>
          <w:shd w:val="clear" w:color="auto" w:fill="000066"/>
          <w:vAlign w:val="center"/>
          <w:hideMark/>
        </w:tcPr>
        <w:p w:rsidR="0094121F" w:rsidRDefault="0094121F">
          <w:pPr>
            <w:spacing w:before="60" w:after="60"/>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color w:val="FFFFFF" w:themeColor="background1"/>
              <w:lang w:eastAsia="fr-FR"/>
            </w:rPr>
            <w:t>Version : 1</w:t>
          </w:r>
        </w:p>
      </w:tc>
      <w:tc>
        <w:tcPr>
          <w:tcW w:w="3307" w:type="dxa"/>
          <w:tcBorders>
            <w:top w:val="single" w:sz="12" w:space="0" w:color="auto"/>
            <w:left w:val="single" w:sz="12" w:space="0" w:color="auto"/>
            <w:bottom w:val="single" w:sz="12" w:space="0" w:color="auto"/>
            <w:right w:val="single" w:sz="12" w:space="0" w:color="auto"/>
          </w:tcBorders>
          <w:shd w:val="clear" w:color="auto" w:fill="000066"/>
          <w:vAlign w:val="center"/>
          <w:hideMark/>
        </w:tcPr>
        <w:p w:rsidR="0094121F" w:rsidRDefault="0094121F">
          <w:pPr>
            <w:spacing w:before="60" w:after="60"/>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color w:val="FFFFFF" w:themeColor="background1"/>
              <w:lang w:eastAsia="fr-FR"/>
            </w:rPr>
            <w:t>Date : 2</w:t>
          </w:r>
          <w:r w:rsidR="00126984">
            <w:rPr>
              <w:rFonts w:ascii="Calibri" w:eastAsia="Times New Roman" w:hAnsi="Calibri" w:cs="Times New Roman"/>
              <w:b/>
              <w:color w:val="FFFFFF" w:themeColor="background1"/>
              <w:lang w:eastAsia="fr-FR"/>
            </w:rPr>
            <w:t>7</w:t>
          </w:r>
          <w:r>
            <w:rPr>
              <w:rFonts w:ascii="Calibri" w:eastAsia="Times New Roman" w:hAnsi="Calibri" w:cs="Times New Roman"/>
              <w:b/>
              <w:color w:val="FFFFFF" w:themeColor="background1"/>
              <w:lang w:eastAsia="fr-FR"/>
            </w:rPr>
            <w:t>/0</w:t>
          </w:r>
          <w:r w:rsidR="00126984">
            <w:rPr>
              <w:rFonts w:ascii="Calibri" w:eastAsia="Times New Roman" w:hAnsi="Calibri" w:cs="Times New Roman"/>
              <w:b/>
              <w:color w:val="FFFFFF" w:themeColor="background1"/>
              <w:lang w:eastAsia="fr-FR"/>
            </w:rPr>
            <w:t>2</w:t>
          </w:r>
          <w:r>
            <w:rPr>
              <w:rFonts w:ascii="Calibri" w:eastAsia="Times New Roman" w:hAnsi="Calibri" w:cs="Times New Roman"/>
              <w:b/>
              <w:color w:val="FFFFFF" w:themeColor="background1"/>
              <w:lang w:eastAsia="fr-FR"/>
            </w:rPr>
            <w:t>/1</w:t>
          </w:r>
          <w:r w:rsidR="00126984">
            <w:rPr>
              <w:rFonts w:ascii="Calibri" w:eastAsia="Times New Roman" w:hAnsi="Calibri" w:cs="Times New Roman"/>
              <w:b/>
              <w:color w:val="FFFFFF" w:themeColor="background1"/>
              <w:lang w:eastAsia="fr-FR"/>
            </w:rPr>
            <w:t>8</w:t>
          </w:r>
        </w:p>
      </w:tc>
      <w:tc>
        <w:tcPr>
          <w:tcW w:w="3307" w:type="dxa"/>
          <w:tcBorders>
            <w:top w:val="single" w:sz="12" w:space="0" w:color="auto"/>
            <w:left w:val="single" w:sz="12" w:space="0" w:color="auto"/>
            <w:bottom w:val="single" w:sz="12" w:space="0" w:color="auto"/>
            <w:right w:val="single" w:sz="12" w:space="0" w:color="auto"/>
          </w:tcBorders>
          <w:shd w:val="clear" w:color="auto" w:fill="000066"/>
          <w:vAlign w:val="center"/>
          <w:hideMark/>
        </w:tcPr>
        <w:p w:rsidR="0094121F" w:rsidRDefault="0094121F">
          <w:pPr>
            <w:spacing w:before="60" w:after="60"/>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color w:val="FFFFFF" w:themeColor="background1"/>
              <w:lang w:eastAsia="fr-FR"/>
            </w:rPr>
            <w:t>Remplace la fiche : -</w:t>
          </w:r>
        </w:p>
      </w:tc>
    </w:tr>
  </w:tbl>
  <w:p w:rsidR="001B767A" w:rsidRPr="0039266A" w:rsidRDefault="001B767A" w:rsidP="0039266A">
    <w:pPr>
      <w:pStyle w:val="En-tte"/>
      <w:rPr>
        <w:rFonts w:ascii="Calibri" w:eastAsia="Times New Roman" w:hAnsi="Calibri" w:cs="Times New Roman"/>
        <w:color w:val="000000"/>
        <w:lang w:eastAsia="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564B"/>
    <w:multiLevelType w:val="hybridMultilevel"/>
    <w:tmpl w:val="6A76BD18"/>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97609"/>
    <w:multiLevelType w:val="multilevel"/>
    <w:tmpl w:val="0844829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223DCC"/>
    <w:multiLevelType w:val="hybridMultilevel"/>
    <w:tmpl w:val="F2EAC3EC"/>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111962"/>
    <w:multiLevelType w:val="hybridMultilevel"/>
    <w:tmpl w:val="CEBC7916"/>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723376"/>
    <w:multiLevelType w:val="hybridMultilevel"/>
    <w:tmpl w:val="F30E23EC"/>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02339F"/>
    <w:multiLevelType w:val="hybridMultilevel"/>
    <w:tmpl w:val="376C83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CC6E1B"/>
    <w:multiLevelType w:val="hybridMultilevel"/>
    <w:tmpl w:val="410AA020"/>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12D4E"/>
    <w:multiLevelType w:val="hybridMultilevel"/>
    <w:tmpl w:val="A710BB98"/>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7E3571"/>
    <w:multiLevelType w:val="hybridMultilevel"/>
    <w:tmpl w:val="FD8A20A8"/>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403086"/>
    <w:multiLevelType w:val="hybridMultilevel"/>
    <w:tmpl w:val="A0C4F274"/>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4D2184"/>
    <w:multiLevelType w:val="hybridMultilevel"/>
    <w:tmpl w:val="E20462B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D635BA2"/>
    <w:multiLevelType w:val="hybridMultilevel"/>
    <w:tmpl w:val="2806E136"/>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E0100"/>
    <w:multiLevelType w:val="hybridMultilevel"/>
    <w:tmpl w:val="21CCEE7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370619F9"/>
    <w:multiLevelType w:val="hybridMultilevel"/>
    <w:tmpl w:val="18281224"/>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C60620"/>
    <w:multiLevelType w:val="multilevel"/>
    <w:tmpl w:val="2EE2E9B0"/>
    <w:lvl w:ilvl="0">
      <w:start w:val="6484"/>
      <w:numFmt w:val="decimal"/>
      <w:lvlText w:val="%1"/>
      <w:lvlJc w:val="left"/>
      <w:pPr>
        <w:ind w:left="885" w:hanging="885"/>
      </w:pPr>
      <w:rPr>
        <w:rFonts w:hint="default"/>
      </w:rPr>
    </w:lvl>
    <w:lvl w:ilvl="1">
      <w:start w:val="52"/>
      <w:numFmt w:val="decimal"/>
      <w:lvlText w:val="%1-%2"/>
      <w:lvlJc w:val="left"/>
      <w:pPr>
        <w:ind w:left="885" w:hanging="885"/>
      </w:pPr>
      <w:rPr>
        <w:rFonts w:hint="default"/>
      </w:rPr>
    </w:lvl>
    <w:lvl w:ilvl="2">
      <w:start w:val="2"/>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485A0F"/>
    <w:multiLevelType w:val="hybridMultilevel"/>
    <w:tmpl w:val="8F400C00"/>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BB0B90"/>
    <w:multiLevelType w:val="hybridMultilevel"/>
    <w:tmpl w:val="73F4D934"/>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E11C1E"/>
    <w:multiLevelType w:val="hybridMultilevel"/>
    <w:tmpl w:val="21145DFC"/>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D4101"/>
    <w:multiLevelType w:val="hybridMultilevel"/>
    <w:tmpl w:val="E92E2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885FFD"/>
    <w:multiLevelType w:val="multilevel"/>
    <w:tmpl w:val="631A55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9B3A47"/>
    <w:multiLevelType w:val="hybridMultilevel"/>
    <w:tmpl w:val="CDA835BE"/>
    <w:lvl w:ilvl="0" w:tplc="040C000B">
      <w:start w:val="648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5038A8"/>
    <w:multiLevelType w:val="hybridMultilevel"/>
    <w:tmpl w:val="A5648458"/>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A93790"/>
    <w:multiLevelType w:val="hybridMultilevel"/>
    <w:tmpl w:val="DDA23A9E"/>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C1203C"/>
    <w:multiLevelType w:val="hybridMultilevel"/>
    <w:tmpl w:val="AF4430FC"/>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DCA016C"/>
    <w:multiLevelType w:val="hybridMultilevel"/>
    <w:tmpl w:val="8EF82DB4"/>
    <w:lvl w:ilvl="0" w:tplc="32AEA7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21"/>
  </w:num>
  <w:num w:numId="4">
    <w:abstractNumId w:val="16"/>
  </w:num>
  <w:num w:numId="5">
    <w:abstractNumId w:val="23"/>
  </w:num>
  <w:num w:numId="6">
    <w:abstractNumId w:val="18"/>
  </w:num>
  <w:num w:numId="7">
    <w:abstractNumId w:val="17"/>
  </w:num>
  <w:num w:numId="8">
    <w:abstractNumId w:val="15"/>
  </w:num>
  <w:num w:numId="9">
    <w:abstractNumId w:val="9"/>
  </w:num>
  <w:num w:numId="10">
    <w:abstractNumId w:val="4"/>
  </w:num>
  <w:num w:numId="11">
    <w:abstractNumId w:val="13"/>
  </w:num>
  <w:num w:numId="12">
    <w:abstractNumId w:val="10"/>
  </w:num>
  <w:num w:numId="13">
    <w:abstractNumId w:val="8"/>
  </w:num>
  <w:num w:numId="14">
    <w:abstractNumId w:val="2"/>
  </w:num>
  <w:num w:numId="15">
    <w:abstractNumId w:val="7"/>
  </w:num>
  <w:num w:numId="16">
    <w:abstractNumId w:val="24"/>
  </w:num>
  <w:num w:numId="17">
    <w:abstractNumId w:val="12"/>
  </w:num>
  <w:num w:numId="18">
    <w:abstractNumId w:val="22"/>
  </w:num>
  <w:num w:numId="19">
    <w:abstractNumId w:val="3"/>
  </w:num>
  <w:num w:numId="20">
    <w:abstractNumId w:val="6"/>
  </w:num>
  <w:num w:numId="21">
    <w:abstractNumId w:val="0"/>
  </w:num>
  <w:num w:numId="22">
    <w:abstractNumId w:val="5"/>
  </w:num>
  <w:num w:numId="23">
    <w:abstractNumId w:val="11"/>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2F2"/>
    <w:rsid w:val="00013B72"/>
    <w:rsid w:val="00014262"/>
    <w:rsid w:val="00017105"/>
    <w:rsid w:val="0002115C"/>
    <w:rsid w:val="00037FEB"/>
    <w:rsid w:val="00044D70"/>
    <w:rsid w:val="000475C6"/>
    <w:rsid w:val="0006432F"/>
    <w:rsid w:val="000746FA"/>
    <w:rsid w:val="000A6481"/>
    <w:rsid w:val="000F015F"/>
    <w:rsid w:val="00111630"/>
    <w:rsid w:val="00126984"/>
    <w:rsid w:val="00142A09"/>
    <w:rsid w:val="00161119"/>
    <w:rsid w:val="00162BAE"/>
    <w:rsid w:val="00164D4E"/>
    <w:rsid w:val="00171727"/>
    <w:rsid w:val="001812F8"/>
    <w:rsid w:val="00196D42"/>
    <w:rsid w:val="001A4ECA"/>
    <w:rsid w:val="001B767A"/>
    <w:rsid w:val="001C1DC8"/>
    <w:rsid w:val="001E02C5"/>
    <w:rsid w:val="001E5ADB"/>
    <w:rsid w:val="0020770D"/>
    <w:rsid w:val="00227061"/>
    <w:rsid w:val="00246223"/>
    <w:rsid w:val="00246C69"/>
    <w:rsid w:val="00252B65"/>
    <w:rsid w:val="00272157"/>
    <w:rsid w:val="002919DF"/>
    <w:rsid w:val="002B4950"/>
    <w:rsid w:val="0032386E"/>
    <w:rsid w:val="00323903"/>
    <w:rsid w:val="0033146B"/>
    <w:rsid w:val="00331B6C"/>
    <w:rsid w:val="003412FB"/>
    <w:rsid w:val="0039266A"/>
    <w:rsid w:val="003938EB"/>
    <w:rsid w:val="003D106B"/>
    <w:rsid w:val="004167AD"/>
    <w:rsid w:val="00431700"/>
    <w:rsid w:val="00460F76"/>
    <w:rsid w:val="004672F2"/>
    <w:rsid w:val="004A1AF5"/>
    <w:rsid w:val="004E0030"/>
    <w:rsid w:val="004F2AD4"/>
    <w:rsid w:val="004F41A7"/>
    <w:rsid w:val="00503C7E"/>
    <w:rsid w:val="00506A7E"/>
    <w:rsid w:val="00524542"/>
    <w:rsid w:val="0054093E"/>
    <w:rsid w:val="005613E7"/>
    <w:rsid w:val="00562A2F"/>
    <w:rsid w:val="005714F9"/>
    <w:rsid w:val="00596E37"/>
    <w:rsid w:val="00596F33"/>
    <w:rsid w:val="005A5A4A"/>
    <w:rsid w:val="005A638C"/>
    <w:rsid w:val="005E4252"/>
    <w:rsid w:val="0062093F"/>
    <w:rsid w:val="00692AB1"/>
    <w:rsid w:val="006A4AF4"/>
    <w:rsid w:val="006E6F26"/>
    <w:rsid w:val="006F0F3F"/>
    <w:rsid w:val="00715773"/>
    <w:rsid w:val="00721D99"/>
    <w:rsid w:val="00751FBF"/>
    <w:rsid w:val="0076448B"/>
    <w:rsid w:val="007A70DF"/>
    <w:rsid w:val="007B2CA9"/>
    <w:rsid w:val="007B62CE"/>
    <w:rsid w:val="00841B56"/>
    <w:rsid w:val="00875C5F"/>
    <w:rsid w:val="008772B1"/>
    <w:rsid w:val="008A0FAE"/>
    <w:rsid w:val="008D05E6"/>
    <w:rsid w:val="00901031"/>
    <w:rsid w:val="00902C64"/>
    <w:rsid w:val="0094121F"/>
    <w:rsid w:val="00946788"/>
    <w:rsid w:val="009B22FF"/>
    <w:rsid w:val="00A02FA1"/>
    <w:rsid w:val="00A04889"/>
    <w:rsid w:val="00A557F8"/>
    <w:rsid w:val="00A632C8"/>
    <w:rsid w:val="00A85ECE"/>
    <w:rsid w:val="00A96D69"/>
    <w:rsid w:val="00A97B8A"/>
    <w:rsid w:val="00AB5E1E"/>
    <w:rsid w:val="00AF0A5D"/>
    <w:rsid w:val="00B804E6"/>
    <w:rsid w:val="00B80D5E"/>
    <w:rsid w:val="00B9533B"/>
    <w:rsid w:val="00BC7857"/>
    <w:rsid w:val="00BD1D5C"/>
    <w:rsid w:val="00C5501B"/>
    <w:rsid w:val="00C62AD1"/>
    <w:rsid w:val="00C71C66"/>
    <w:rsid w:val="00C75028"/>
    <w:rsid w:val="00CA3D6C"/>
    <w:rsid w:val="00D219B6"/>
    <w:rsid w:val="00D75AB9"/>
    <w:rsid w:val="00DB3363"/>
    <w:rsid w:val="00DE0DA6"/>
    <w:rsid w:val="00DE10CF"/>
    <w:rsid w:val="00DF5BCF"/>
    <w:rsid w:val="00E25F43"/>
    <w:rsid w:val="00E60B64"/>
    <w:rsid w:val="00E74B60"/>
    <w:rsid w:val="00F31708"/>
    <w:rsid w:val="00F34A62"/>
    <w:rsid w:val="00F42044"/>
    <w:rsid w:val="00F549F1"/>
    <w:rsid w:val="00F71A35"/>
    <w:rsid w:val="00F72352"/>
    <w:rsid w:val="00FB464B"/>
    <w:rsid w:val="00FB4A1B"/>
    <w:rsid w:val="00FC57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29E33EF7"/>
  <w15:docId w15:val="{54D92A02-D242-437E-A450-8339D347B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6C6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672F2"/>
    <w:pPr>
      <w:tabs>
        <w:tab w:val="center" w:pos="4536"/>
        <w:tab w:val="right" w:pos="9072"/>
      </w:tabs>
      <w:spacing w:after="0" w:line="240" w:lineRule="auto"/>
    </w:pPr>
  </w:style>
  <w:style w:type="character" w:customStyle="1" w:styleId="En-tteCar">
    <w:name w:val="En-tête Car"/>
    <w:basedOn w:val="Policepardfaut"/>
    <w:link w:val="En-tte"/>
    <w:uiPriority w:val="99"/>
    <w:rsid w:val="004672F2"/>
  </w:style>
  <w:style w:type="paragraph" w:styleId="Pieddepage">
    <w:name w:val="footer"/>
    <w:basedOn w:val="Normal"/>
    <w:link w:val="PieddepageCar"/>
    <w:uiPriority w:val="99"/>
    <w:unhideWhenUsed/>
    <w:rsid w:val="004672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72F2"/>
  </w:style>
  <w:style w:type="paragraph" w:styleId="Textedebulles">
    <w:name w:val="Balloon Text"/>
    <w:basedOn w:val="Normal"/>
    <w:link w:val="TextedebullesCar"/>
    <w:uiPriority w:val="99"/>
    <w:semiHidden/>
    <w:unhideWhenUsed/>
    <w:rsid w:val="004672F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672F2"/>
    <w:rPr>
      <w:rFonts w:ascii="Tahoma" w:hAnsi="Tahoma" w:cs="Tahoma"/>
      <w:sz w:val="16"/>
      <w:szCs w:val="16"/>
    </w:rPr>
  </w:style>
  <w:style w:type="table" w:styleId="Grilledutableau">
    <w:name w:val="Table Grid"/>
    <w:basedOn w:val="TableauNormal"/>
    <w:uiPriority w:val="59"/>
    <w:rsid w:val="0046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44D70"/>
    <w:pPr>
      <w:ind w:left="720"/>
      <w:contextualSpacing/>
    </w:pPr>
  </w:style>
  <w:style w:type="character" w:styleId="Lienhypertexte">
    <w:name w:val="Hyperlink"/>
    <w:basedOn w:val="Policepardfaut"/>
    <w:uiPriority w:val="99"/>
    <w:unhideWhenUsed/>
    <w:rsid w:val="003D10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0561">
      <w:bodyDiv w:val="1"/>
      <w:marLeft w:val="0"/>
      <w:marRight w:val="0"/>
      <w:marTop w:val="0"/>
      <w:marBottom w:val="0"/>
      <w:divBdr>
        <w:top w:val="none" w:sz="0" w:space="0" w:color="auto"/>
        <w:left w:val="none" w:sz="0" w:space="0" w:color="auto"/>
        <w:bottom w:val="none" w:sz="0" w:space="0" w:color="auto"/>
        <w:right w:val="none" w:sz="0" w:space="0" w:color="auto"/>
      </w:divBdr>
    </w:div>
    <w:div w:id="7145721">
      <w:bodyDiv w:val="1"/>
      <w:marLeft w:val="0"/>
      <w:marRight w:val="0"/>
      <w:marTop w:val="0"/>
      <w:marBottom w:val="0"/>
      <w:divBdr>
        <w:top w:val="none" w:sz="0" w:space="0" w:color="auto"/>
        <w:left w:val="none" w:sz="0" w:space="0" w:color="auto"/>
        <w:bottom w:val="none" w:sz="0" w:space="0" w:color="auto"/>
        <w:right w:val="none" w:sz="0" w:space="0" w:color="auto"/>
      </w:divBdr>
    </w:div>
    <w:div w:id="10839523">
      <w:bodyDiv w:val="1"/>
      <w:marLeft w:val="0"/>
      <w:marRight w:val="0"/>
      <w:marTop w:val="0"/>
      <w:marBottom w:val="0"/>
      <w:divBdr>
        <w:top w:val="none" w:sz="0" w:space="0" w:color="auto"/>
        <w:left w:val="none" w:sz="0" w:space="0" w:color="auto"/>
        <w:bottom w:val="none" w:sz="0" w:space="0" w:color="auto"/>
        <w:right w:val="none" w:sz="0" w:space="0" w:color="auto"/>
      </w:divBdr>
    </w:div>
    <w:div w:id="17969718">
      <w:bodyDiv w:val="1"/>
      <w:marLeft w:val="0"/>
      <w:marRight w:val="0"/>
      <w:marTop w:val="0"/>
      <w:marBottom w:val="0"/>
      <w:divBdr>
        <w:top w:val="none" w:sz="0" w:space="0" w:color="auto"/>
        <w:left w:val="none" w:sz="0" w:space="0" w:color="auto"/>
        <w:bottom w:val="none" w:sz="0" w:space="0" w:color="auto"/>
        <w:right w:val="none" w:sz="0" w:space="0" w:color="auto"/>
      </w:divBdr>
    </w:div>
    <w:div w:id="19671602">
      <w:bodyDiv w:val="1"/>
      <w:marLeft w:val="0"/>
      <w:marRight w:val="0"/>
      <w:marTop w:val="0"/>
      <w:marBottom w:val="0"/>
      <w:divBdr>
        <w:top w:val="none" w:sz="0" w:space="0" w:color="auto"/>
        <w:left w:val="none" w:sz="0" w:space="0" w:color="auto"/>
        <w:bottom w:val="none" w:sz="0" w:space="0" w:color="auto"/>
        <w:right w:val="none" w:sz="0" w:space="0" w:color="auto"/>
      </w:divBdr>
    </w:div>
    <w:div w:id="20595559">
      <w:bodyDiv w:val="1"/>
      <w:marLeft w:val="0"/>
      <w:marRight w:val="0"/>
      <w:marTop w:val="0"/>
      <w:marBottom w:val="0"/>
      <w:divBdr>
        <w:top w:val="none" w:sz="0" w:space="0" w:color="auto"/>
        <w:left w:val="none" w:sz="0" w:space="0" w:color="auto"/>
        <w:bottom w:val="none" w:sz="0" w:space="0" w:color="auto"/>
        <w:right w:val="none" w:sz="0" w:space="0" w:color="auto"/>
      </w:divBdr>
    </w:div>
    <w:div w:id="22633486">
      <w:bodyDiv w:val="1"/>
      <w:marLeft w:val="0"/>
      <w:marRight w:val="0"/>
      <w:marTop w:val="0"/>
      <w:marBottom w:val="0"/>
      <w:divBdr>
        <w:top w:val="none" w:sz="0" w:space="0" w:color="auto"/>
        <w:left w:val="none" w:sz="0" w:space="0" w:color="auto"/>
        <w:bottom w:val="none" w:sz="0" w:space="0" w:color="auto"/>
        <w:right w:val="none" w:sz="0" w:space="0" w:color="auto"/>
      </w:divBdr>
    </w:div>
    <w:div w:id="31807873">
      <w:bodyDiv w:val="1"/>
      <w:marLeft w:val="0"/>
      <w:marRight w:val="0"/>
      <w:marTop w:val="0"/>
      <w:marBottom w:val="0"/>
      <w:divBdr>
        <w:top w:val="none" w:sz="0" w:space="0" w:color="auto"/>
        <w:left w:val="none" w:sz="0" w:space="0" w:color="auto"/>
        <w:bottom w:val="none" w:sz="0" w:space="0" w:color="auto"/>
        <w:right w:val="none" w:sz="0" w:space="0" w:color="auto"/>
      </w:divBdr>
    </w:div>
    <w:div w:id="35394338">
      <w:bodyDiv w:val="1"/>
      <w:marLeft w:val="0"/>
      <w:marRight w:val="0"/>
      <w:marTop w:val="0"/>
      <w:marBottom w:val="0"/>
      <w:divBdr>
        <w:top w:val="none" w:sz="0" w:space="0" w:color="auto"/>
        <w:left w:val="none" w:sz="0" w:space="0" w:color="auto"/>
        <w:bottom w:val="none" w:sz="0" w:space="0" w:color="auto"/>
        <w:right w:val="none" w:sz="0" w:space="0" w:color="auto"/>
      </w:divBdr>
    </w:div>
    <w:div w:id="49888294">
      <w:bodyDiv w:val="1"/>
      <w:marLeft w:val="0"/>
      <w:marRight w:val="0"/>
      <w:marTop w:val="0"/>
      <w:marBottom w:val="0"/>
      <w:divBdr>
        <w:top w:val="none" w:sz="0" w:space="0" w:color="auto"/>
        <w:left w:val="none" w:sz="0" w:space="0" w:color="auto"/>
        <w:bottom w:val="none" w:sz="0" w:space="0" w:color="auto"/>
        <w:right w:val="none" w:sz="0" w:space="0" w:color="auto"/>
      </w:divBdr>
    </w:div>
    <w:div w:id="54548749">
      <w:bodyDiv w:val="1"/>
      <w:marLeft w:val="0"/>
      <w:marRight w:val="0"/>
      <w:marTop w:val="0"/>
      <w:marBottom w:val="0"/>
      <w:divBdr>
        <w:top w:val="none" w:sz="0" w:space="0" w:color="auto"/>
        <w:left w:val="none" w:sz="0" w:space="0" w:color="auto"/>
        <w:bottom w:val="none" w:sz="0" w:space="0" w:color="auto"/>
        <w:right w:val="none" w:sz="0" w:space="0" w:color="auto"/>
      </w:divBdr>
    </w:div>
    <w:div w:id="55858059">
      <w:bodyDiv w:val="1"/>
      <w:marLeft w:val="0"/>
      <w:marRight w:val="0"/>
      <w:marTop w:val="0"/>
      <w:marBottom w:val="0"/>
      <w:divBdr>
        <w:top w:val="none" w:sz="0" w:space="0" w:color="auto"/>
        <w:left w:val="none" w:sz="0" w:space="0" w:color="auto"/>
        <w:bottom w:val="none" w:sz="0" w:space="0" w:color="auto"/>
        <w:right w:val="none" w:sz="0" w:space="0" w:color="auto"/>
      </w:divBdr>
    </w:div>
    <w:div w:id="59209117">
      <w:bodyDiv w:val="1"/>
      <w:marLeft w:val="0"/>
      <w:marRight w:val="0"/>
      <w:marTop w:val="0"/>
      <w:marBottom w:val="0"/>
      <w:divBdr>
        <w:top w:val="none" w:sz="0" w:space="0" w:color="auto"/>
        <w:left w:val="none" w:sz="0" w:space="0" w:color="auto"/>
        <w:bottom w:val="none" w:sz="0" w:space="0" w:color="auto"/>
        <w:right w:val="none" w:sz="0" w:space="0" w:color="auto"/>
      </w:divBdr>
    </w:div>
    <w:div w:id="89357823">
      <w:bodyDiv w:val="1"/>
      <w:marLeft w:val="0"/>
      <w:marRight w:val="0"/>
      <w:marTop w:val="0"/>
      <w:marBottom w:val="0"/>
      <w:divBdr>
        <w:top w:val="none" w:sz="0" w:space="0" w:color="auto"/>
        <w:left w:val="none" w:sz="0" w:space="0" w:color="auto"/>
        <w:bottom w:val="none" w:sz="0" w:space="0" w:color="auto"/>
        <w:right w:val="none" w:sz="0" w:space="0" w:color="auto"/>
      </w:divBdr>
    </w:div>
    <w:div w:id="93865656">
      <w:bodyDiv w:val="1"/>
      <w:marLeft w:val="0"/>
      <w:marRight w:val="0"/>
      <w:marTop w:val="0"/>
      <w:marBottom w:val="0"/>
      <w:divBdr>
        <w:top w:val="none" w:sz="0" w:space="0" w:color="auto"/>
        <w:left w:val="none" w:sz="0" w:space="0" w:color="auto"/>
        <w:bottom w:val="none" w:sz="0" w:space="0" w:color="auto"/>
        <w:right w:val="none" w:sz="0" w:space="0" w:color="auto"/>
      </w:divBdr>
    </w:div>
    <w:div w:id="161090788">
      <w:bodyDiv w:val="1"/>
      <w:marLeft w:val="0"/>
      <w:marRight w:val="0"/>
      <w:marTop w:val="0"/>
      <w:marBottom w:val="0"/>
      <w:divBdr>
        <w:top w:val="none" w:sz="0" w:space="0" w:color="auto"/>
        <w:left w:val="none" w:sz="0" w:space="0" w:color="auto"/>
        <w:bottom w:val="none" w:sz="0" w:space="0" w:color="auto"/>
        <w:right w:val="none" w:sz="0" w:space="0" w:color="auto"/>
      </w:divBdr>
    </w:div>
    <w:div w:id="167259097">
      <w:bodyDiv w:val="1"/>
      <w:marLeft w:val="0"/>
      <w:marRight w:val="0"/>
      <w:marTop w:val="0"/>
      <w:marBottom w:val="0"/>
      <w:divBdr>
        <w:top w:val="none" w:sz="0" w:space="0" w:color="auto"/>
        <w:left w:val="none" w:sz="0" w:space="0" w:color="auto"/>
        <w:bottom w:val="none" w:sz="0" w:space="0" w:color="auto"/>
        <w:right w:val="none" w:sz="0" w:space="0" w:color="auto"/>
      </w:divBdr>
    </w:div>
    <w:div w:id="174074130">
      <w:bodyDiv w:val="1"/>
      <w:marLeft w:val="0"/>
      <w:marRight w:val="0"/>
      <w:marTop w:val="0"/>
      <w:marBottom w:val="0"/>
      <w:divBdr>
        <w:top w:val="none" w:sz="0" w:space="0" w:color="auto"/>
        <w:left w:val="none" w:sz="0" w:space="0" w:color="auto"/>
        <w:bottom w:val="none" w:sz="0" w:space="0" w:color="auto"/>
        <w:right w:val="none" w:sz="0" w:space="0" w:color="auto"/>
      </w:divBdr>
    </w:div>
    <w:div w:id="187178986">
      <w:bodyDiv w:val="1"/>
      <w:marLeft w:val="0"/>
      <w:marRight w:val="0"/>
      <w:marTop w:val="0"/>
      <w:marBottom w:val="0"/>
      <w:divBdr>
        <w:top w:val="none" w:sz="0" w:space="0" w:color="auto"/>
        <w:left w:val="none" w:sz="0" w:space="0" w:color="auto"/>
        <w:bottom w:val="none" w:sz="0" w:space="0" w:color="auto"/>
        <w:right w:val="none" w:sz="0" w:space="0" w:color="auto"/>
      </w:divBdr>
    </w:div>
    <w:div w:id="197813735">
      <w:bodyDiv w:val="1"/>
      <w:marLeft w:val="0"/>
      <w:marRight w:val="0"/>
      <w:marTop w:val="0"/>
      <w:marBottom w:val="0"/>
      <w:divBdr>
        <w:top w:val="none" w:sz="0" w:space="0" w:color="auto"/>
        <w:left w:val="none" w:sz="0" w:space="0" w:color="auto"/>
        <w:bottom w:val="none" w:sz="0" w:space="0" w:color="auto"/>
        <w:right w:val="none" w:sz="0" w:space="0" w:color="auto"/>
      </w:divBdr>
    </w:div>
    <w:div w:id="220749725">
      <w:bodyDiv w:val="1"/>
      <w:marLeft w:val="0"/>
      <w:marRight w:val="0"/>
      <w:marTop w:val="0"/>
      <w:marBottom w:val="0"/>
      <w:divBdr>
        <w:top w:val="none" w:sz="0" w:space="0" w:color="auto"/>
        <w:left w:val="none" w:sz="0" w:space="0" w:color="auto"/>
        <w:bottom w:val="none" w:sz="0" w:space="0" w:color="auto"/>
        <w:right w:val="none" w:sz="0" w:space="0" w:color="auto"/>
      </w:divBdr>
    </w:div>
    <w:div w:id="237178500">
      <w:bodyDiv w:val="1"/>
      <w:marLeft w:val="0"/>
      <w:marRight w:val="0"/>
      <w:marTop w:val="0"/>
      <w:marBottom w:val="0"/>
      <w:divBdr>
        <w:top w:val="none" w:sz="0" w:space="0" w:color="auto"/>
        <w:left w:val="none" w:sz="0" w:space="0" w:color="auto"/>
        <w:bottom w:val="none" w:sz="0" w:space="0" w:color="auto"/>
        <w:right w:val="none" w:sz="0" w:space="0" w:color="auto"/>
      </w:divBdr>
    </w:div>
    <w:div w:id="243029309">
      <w:bodyDiv w:val="1"/>
      <w:marLeft w:val="0"/>
      <w:marRight w:val="0"/>
      <w:marTop w:val="0"/>
      <w:marBottom w:val="0"/>
      <w:divBdr>
        <w:top w:val="none" w:sz="0" w:space="0" w:color="auto"/>
        <w:left w:val="none" w:sz="0" w:space="0" w:color="auto"/>
        <w:bottom w:val="none" w:sz="0" w:space="0" w:color="auto"/>
        <w:right w:val="none" w:sz="0" w:space="0" w:color="auto"/>
      </w:divBdr>
    </w:div>
    <w:div w:id="261962338">
      <w:bodyDiv w:val="1"/>
      <w:marLeft w:val="0"/>
      <w:marRight w:val="0"/>
      <w:marTop w:val="0"/>
      <w:marBottom w:val="0"/>
      <w:divBdr>
        <w:top w:val="none" w:sz="0" w:space="0" w:color="auto"/>
        <w:left w:val="none" w:sz="0" w:space="0" w:color="auto"/>
        <w:bottom w:val="none" w:sz="0" w:space="0" w:color="auto"/>
        <w:right w:val="none" w:sz="0" w:space="0" w:color="auto"/>
      </w:divBdr>
    </w:div>
    <w:div w:id="281886434">
      <w:bodyDiv w:val="1"/>
      <w:marLeft w:val="0"/>
      <w:marRight w:val="0"/>
      <w:marTop w:val="0"/>
      <w:marBottom w:val="0"/>
      <w:divBdr>
        <w:top w:val="none" w:sz="0" w:space="0" w:color="auto"/>
        <w:left w:val="none" w:sz="0" w:space="0" w:color="auto"/>
        <w:bottom w:val="none" w:sz="0" w:space="0" w:color="auto"/>
        <w:right w:val="none" w:sz="0" w:space="0" w:color="auto"/>
      </w:divBdr>
    </w:div>
    <w:div w:id="296765158">
      <w:bodyDiv w:val="1"/>
      <w:marLeft w:val="0"/>
      <w:marRight w:val="0"/>
      <w:marTop w:val="0"/>
      <w:marBottom w:val="0"/>
      <w:divBdr>
        <w:top w:val="none" w:sz="0" w:space="0" w:color="auto"/>
        <w:left w:val="none" w:sz="0" w:space="0" w:color="auto"/>
        <w:bottom w:val="none" w:sz="0" w:space="0" w:color="auto"/>
        <w:right w:val="none" w:sz="0" w:space="0" w:color="auto"/>
      </w:divBdr>
    </w:div>
    <w:div w:id="301928365">
      <w:bodyDiv w:val="1"/>
      <w:marLeft w:val="0"/>
      <w:marRight w:val="0"/>
      <w:marTop w:val="0"/>
      <w:marBottom w:val="0"/>
      <w:divBdr>
        <w:top w:val="none" w:sz="0" w:space="0" w:color="auto"/>
        <w:left w:val="none" w:sz="0" w:space="0" w:color="auto"/>
        <w:bottom w:val="none" w:sz="0" w:space="0" w:color="auto"/>
        <w:right w:val="none" w:sz="0" w:space="0" w:color="auto"/>
      </w:divBdr>
    </w:div>
    <w:div w:id="331182361">
      <w:bodyDiv w:val="1"/>
      <w:marLeft w:val="0"/>
      <w:marRight w:val="0"/>
      <w:marTop w:val="0"/>
      <w:marBottom w:val="0"/>
      <w:divBdr>
        <w:top w:val="none" w:sz="0" w:space="0" w:color="auto"/>
        <w:left w:val="none" w:sz="0" w:space="0" w:color="auto"/>
        <w:bottom w:val="none" w:sz="0" w:space="0" w:color="auto"/>
        <w:right w:val="none" w:sz="0" w:space="0" w:color="auto"/>
      </w:divBdr>
    </w:div>
    <w:div w:id="373430274">
      <w:bodyDiv w:val="1"/>
      <w:marLeft w:val="0"/>
      <w:marRight w:val="0"/>
      <w:marTop w:val="0"/>
      <w:marBottom w:val="0"/>
      <w:divBdr>
        <w:top w:val="none" w:sz="0" w:space="0" w:color="auto"/>
        <w:left w:val="none" w:sz="0" w:space="0" w:color="auto"/>
        <w:bottom w:val="none" w:sz="0" w:space="0" w:color="auto"/>
        <w:right w:val="none" w:sz="0" w:space="0" w:color="auto"/>
      </w:divBdr>
    </w:div>
    <w:div w:id="390737082">
      <w:bodyDiv w:val="1"/>
      <w:marLeft w:val="0"/>
      <w:marRight w:val="0"/>
      <w:marTop w:val="0"/>
      <w:marBottom w:val="0"/>
      <w:divBdr>
        <w:top w:val="none" w:sz="0" w:space="0" w:color="auto"/>
        <w:left w:val="none" w:sz="0" w:space="0" w:color="auto"/>
        <w:bottom w:val="none" w:sz="0" w:space="0" w:color="auto"/>
        <w:right w:val="none" w:sz="0" w:space="0" w:color="auto"/>
      </w:divBdr>
    </w:div>
    <w:div w:id="393161511">
      <w:bodyDiv w:val="1"/>
      <w:marLeft w:val="0"/>
      <w:marRight w:val="0"/>
      <w:marTop w:val="0"/>
      <w:marBottom w:val="0"/>
      <w:divBdr>
        <w:top w:val="none" w:sz="0" w:space="0" w:color="auto"/>
        <w:left w:val="none" w:sz="0" w:space="0" w:color="auto"/>
        <w:bottom w:val="none" w:sz="0" w:space="0" w:color="auto"/>
        <w:right w:val="none" w:sz="0" w:space="0" w:color="auto"/>
      </w:divBdr>
    </w:div>
    <w:div w:id="397215317">
      <w:bodyDiv w:val="1"/>
      <w:marLeft w:val="0"/>
      <w:marRight w:val="0"/>
      <w:marTop w:val="0"/>
      <w:marBottom w:val="0"/>
      <w:divBdr>
        <w:top w:val="none" w:sz="0" w:space="0" w:color="auto"/>
        <w:left w:val="none" w:sz="0" w:space="0" w:color="auto"/>
        <w:bottom w:val="none" w:sz="0" w:space="0" w:color="auto"/>
        <w:right w:val="none" w:sz="0" w:space="0" w:color="auto"/>
      </w:divBdr>
    </w:div>
    <w:div w:id="398020455">
      <w:bodyDiv w:val="1"/>
      <w:marLeft w:val="0"/>
      <w:marRight w:val="0"/>
      <w:marTop w:val="0"/>
      <w:marBottom w:val="0"/>
      <w:divBdr>
        <w:top w:val="none" w:sz="0" w:space="0" w:color="auto"/>
        <w:left w:val="none" w:sz="0" w:space="0" w:color="auto"/>
        <w:bottom w:val="none" w:sz="0" w:space="0" w:color="auto"/>
        <w:right w:val="none" w:sz="0" w:space="0" w:color="auto"/>
      </w:divBdr>
    </w:div>
    <w:div w:id="438916173">
      <w:bodyDiv w:val="1"/>
      <w:marLeft w:val="0"/>
      <w:marRight w:val="0"/>
      <w:marTop w:val="0"/>
      <w:marBottom w:val="0"/>
      <w:divBdr>
        <w:top w:val="none" w:sz="0" w:space="0" w:color="auto"/>
        <w:left w:val="none" w:sz="0" w:space="0" w:color="auto"/>
        <w:bottom w:val="none" w:sz="0" w:space="0" w:color="auto"/>
        <w:right w:val="none" w:sz="0" w:space="0" w:color="auto"/>
      </w:divBdr>
    </w:div>
    <w:div w:id="473062144">
      <w:bodyDiv w:val="1"/>
      <w:marLeft w:val="0"/>
      <w:marRight w:val="0"/>
      <w:marTop w:val="0"/>
      <w:marBottom w:val="0"/>
      <w:divBdr>
        <w:top w:val="none" w:sz="0" w:space="0" w:color="auto"/>
        <w:left w:val="none" w:sz="0" w:space="0" w:color="auto"/>
        <w:bottom w:val="none" w:sz="0" w:space="0" w:color="auto"/>
        <w:right w:val="none" w:sz="0" w:space="0" w:color="auto"/>
      </w:divBdr>
    </w:div>
    <w:div w:id="488208548">
      <w:bodyDiv w:val="1"/>
      <w:marLeft w:val="0"/>
      <w:marRight w:val="0"/>
      <w:marTop w:val="0"/>
      <w:marBottom w:val="0"/>
      <w:divBdr>
        <w:top w:val="none" w:sz="0" w:space="0" w:color="auto"/>
        <w:left w:val="none" w:sz="0" w:space="0" w:color="auto"/>
        <w:bottom w:val="none" w:sz="0" w:space="0" w:color="auto"/>
        <w:right w:val="none" w:sz="0" w:space="0" w:color="auto"/>
      </w:divBdr>
    </w:div>
    <w:div w:id="566696354">
      <w:bodyDiv w:val="1"/>
      <w:marLeft w:val="0"/>
      <w:marRight w:val="0"/>
      <w:marTop w:val="0"/>
      <w:marBottom w:val="0"/>
      <w:divBdr>
        <w:top w:val="none" w:sz="0" w:space="0" w:color="auto"/>
        <w:left w:val="none" w:sz="0" w:space="0" w:color="auto"/>
        <w:bottom w:val="none" w:sz="0" w:space="0" w:color="auto"/>
        <w:right w:val="none" w:sz="0" w:space="0" w:color="auto"/>
      </w:divBdr>
    </w:div>
    <w:div w:id="587471396">
      <w:bodyDiv w:val="1"/>
      <w:marLeft w:val="0"/>
      <w:marRight w:val="0"/>
      <w:marTop w:val="0"/>
      <w:marBottom w:val="0"/>
      <w:divBdr>
        <w:top w:val="none" w:sz="0" w:space="0" w:color="auto"/>
        <w:left w:val="none" w:sz="0" w:space="0" w:color="auto"/>
        <w:bottom w:val="none" w:sz="0" w:space="0" w:color="auto"/>
        <w:right w:val="none" w:sz="0" w:space="0" w:color="auto"/>
      </w:divBdr>
    </w:div>
    <w:div w:id="618147947">
      <w:bodyDiv w:val="1"/>
      <w:marLeft w:val="0"/>
      <w:marRight w:val="0"/>
      <w:marTop w:val="0"/>
      <w:marBottom w:val="0"/>
      <w:divBdr>
        <w:top w:val="none" w:sz="0" w:space="0" w:color="auto"/>
        <w:left w:val="none" w:sz="0" w:space="0" w:color="auto"/>
        <w:bottom w:val="none" w:sz="0" w:space="0" w:color="auto"/>
        <w:right w:val="none" w:sz="0" w:space="0" w:color="auto"/>
      </w:divBdr>
    </w:div>
    <w:div w:id="657539870">
      <w:bodyDiv w:val="1"/>
      <w:marLeft w:val="0"/>
      <w:marRight w:val="0"/>
      <w:marTop w:val="0"/>
      <w:marBottom w:val="0"/>
      <w:divBdr>
        <w:top w:val="none" w:sz="0" w:space="0" w:color="auto"/>
        <w:left w:val="none" w:sz="0" w:space="0" w:color="auto"/>
        <w:bottom w:val="none" w:sz="0" w:space="0" w:color="auto"/>
        <w:right w:val="none" w:sz="0" w:space="0" w:color="auto"/>
      </w:divBdr>
    </w:div>
    <w:div w:id="718361407">
      <w:bodyDiv w:val="1"/>
      <w:marLeft w:val="0"/>
      <w:marRight w:val="0"/>
      <w:marTop w:val="0"/>
      <w:marBottom w:val="0"/>
      <w:divBdr>
        <w:top w:val="none" w:sz="0" w:space="0" w:color="auto"/>
        <w:left w:val="none" w:sz="0" w:space="0" w:color="auto"/>
        <w:bottom w:val="none" w:sz="0" w:space="0" w:color="auto"/>
        <w:right w:val="none" w:sz="0" w:space="0" w:color="auto"/>
      </w:divBdr>
    </w:div>
    <w:div w:id="735665076">
      <w:bodyDiv w:val="1"/>
      <w:marLeft w:val="0"/>
      <w:marRight w:val="0"/>
      <w:marTop w:val="0"/>
      <w:marBottom w:val="0"/>
      <w:divBdr>
        <w:top w:val="none" w:sz="0" w:space="0" w:color="auto"/>
        <w:left w:val="none" w:sz="0" w:space="0" w:color="auto"/>
        <w:bottom w:val="none" w:sz="0" w:space="0" w:color="auto"/>
        <w:right w:val="none" w:sz="0" w:space="0" w:color="auto"/>
      </w:divBdr>
    </w:div>
    <w:div w:id="738551862">
      <w:bodyDiv w:val="1"/>
      <w:marLeft w:val="0"/>
      <w:marRight w:val="0"/>
      <w:marTop w:val="0"/>
      <w:marBottom w:val="0"/>
      <w:divBdr>
        <w:top w:val="none" w:sz="0" w:space="0" w:color="auto"/>
        <w:left w:val="none" w:sz="0" w:space="0" w:color="auto"/>
        <w:bottom w:val="none" w:sz="0" w:space="0" w:color="auto"/>
        <w:right w:val="none" w:sz="0" w:space="0" w:color="auto"/>
      </w:divBdr>
    </w:div>
    <w:div w:id="765426509">
      <w:bodyDiv w:val="1"/>
      <w:marLeft w:val="0"/>
      <w:marRight w:val="0"/>
      <w:marTop w:val="0"/>
      <w:marBottom w:val="0"/>
      <w:divBdr>
        <w:top w:val="none" w:sz="0" w:space="0" w:color="auto"/>
        <w:left w:val="none" w:sz="0" w:space="0" w:color="auto"/>
        <w:bottom w:val="none" w:sz="0" w:space="0" w:color="auto"/>
        <w:right w:val="none" w:sz="0" w:space="0" w:color="auto"/>
      </w:divBdr>
    </w:div>
    <w:div w:id="768162194">
      <w:bodyDiv w:val="1"/>
      <w:marLeft w:val="0"/>
      <w:marRight w:val="0"/>
      <w:marTop w:val="0"/>
      <w:marBottom w:val="0"/>
      <w:divBdr>
        <w:top w:val="none" w:sz="0" w:space="0" w:color="auto"/>
        <w:left w:val="none" w:sz="0" w:space="0" w:color="auto"/>
        <w:bottom w:val="none" w:sz="0" w:space="0" w:color="auto"/>
        <w:right w:val="none" w:sz="0" w:space="0" w:color="auto"/>
      </w:divBdr>
    </w:div>
    <w:div w:id="779304354">
      <w:bodyDiv w:val="1"/>
      <w:marLeft w:val="0"/>
      <w:marRight w:val="0"/>
      <w:marTop w:val="0"/>
      <w:marBottom w:val="0"/>
      <w:divBdr>
        <w:top w:val="none" w:sz="0" w:space="0" w:color="auto"/>
        <w:left w:val="none" w:sz="0" w:space="0" w:color="auto"/>
        <w:bottom w:val="none" w:sz="0" w:space="0" w:color="auto"/>
        <w:right w:val="none" w:sz="0" w:space="0" w:color="auto"/>
      </w:divBdr>
    </w:div>
    <w:div w:id="783159354">
      <w:bodyDiv w:val="1"/>
      <w:marLeft w:val="0"/>
      <w:marRight w:val="0"/>
      <w:marTop w:val="0"/>
      <w:marBottom w:val="0"/>
      <w:divBdr>
        <w:top w:val="none" w:sz="0" w:space="0" w:color="auto"/>
        <w:left w:val="none" w:sz="0" w:space="0" w:color="auto"/>
        <w:bottom w:val="none" w:sz="0" w:space="0" w:color="auto"/>
        <w:right w:val="none" w:sz="0" w:space="0" w:color="auto"/>
      </w:divBdr>
    </w:div>
    <w:div w:id="787436673">
      <w:bodyDiv w:val="1"/>
      <w:marLeft w:val="0"/>
      <w:marRight w:val="0"/>
      <w:marTop w:val="0"/>
      <w:marBottom w:val="0"/>
      <w:divBdr>
        <w:top w:val="none" w:sz="0" w:space="0" w:color="auto"/>
        <w:left w:val="none" w:sz="0" w:space="0" w:color="auto"/>
        <w:bottom w:val="none" w:sz="0" w:space="0" w:color="auto"/>
        <w:right w:val="none" w:sz="0" w:space="0" w:color="auto"/>
      </w:divBdr>
    </w:div>
    <w:div w:id="796993323">
      <w:bodyDiv w:val="1"/>
      <w:marLeft w:val="0"/>
      <w:marRight w:val="0"/>
      <w:marTop w:val="0"/>
      <w:marBottom w:val="0"/>
      <w:divBdr>
        <w:top w:val="none" w:sz="0" w:space="0" w:color="auto"/>
        <w:left w:val="none" w:sz="0" w:space="0" w:color="auto"/>
        <w:bottom w:val="none" w:sz="0" w:space="0" w:color="auto"/>
        <w:right w:val="none" w:sz="0" w:space="0" w:color="auto"/>
      </w:divBdr>
    </w:div>
    <w:div w:id="809716261">
      <w:bodyDiv w:val="1"/>
      <w:marLeft w:val="0"/>
      <w:marRight w:val="0"/>
      <w:marTop w:val="0"/>
      <w:marBottom w:val="0"/>
      <w:divBdr>
        <w:top w:val="none" w:sz="0" w:space="0" w:color="auto"/>
        <w:left w:val="none" w:sz="0" w:space="0" w:color="auto"/>
        <w:bottom w:val="none" w:sz="0" w:space="0" w:color="auto"/>
        <w:right w:val="none" w:sz="0" w:space="0" w:color="auto"/>
      </w:divBdr>
    </w:div>
    <w:div w:id="821383358">
      <w:bodyDiv w:val="1"/>
      <w:marLeft w:val="0"/>
      <w:marRight w:val="0"/>
      <w:marTop w:val="0"/>
      <w:marBottom w:val="0"/>
      <w:divBdr>
        <w:top w:val="none" w:sz="0" w:space="0" w:color="auto"/>
        <w:left w:val="none" w:sz="0" w:space="0" w:color="auto"/>
        <w:bottom w:val="none" w:sz="0" w:space="0" w:color="auto"/>
        <w:right w:val="none" w:sz="0" w:space="0" w:color="auto"/>
      </w:divBdr>
    </w:div>
    <w:div w:id="828062742">
      <w:bodyDiv w:val="1"/>
      <w:marLeft w:val="0"/>
      <w:marRight w:val="0"/>
      <w:marTop w:val="0"/>
      <w:marBottom w:val="0"/>
      <w:divBdr>
        <w:top w:val="none" w:sz="0" w:space="0" w:color="auto"/>
        <w:left w:val="none" w:sz="0" w:space="0" w:color="auto"/>
        <w:bottom w:val="none" w:sz="0" w:space="0" w:color="auto"/>
        <w:right w:val="none" w:sz="0" w:space="0" w:color="auto"/>
      </w:divBdr>
    </w:div>
    <w:div w:id="850727895">
      <w:bodyDiv w:val="1"/>
      <w:marLeft w:val="0"/>
      <w:marRight w:val="0"/>
      <w:marTop w:val="0"/>
      <w:marBottom w:val="0"/>
      <w:divBdr>
        <w:top w:val="none" w:sz="0" w:space="0" w:color="auto"/>
        <w:left w:val="none" w:sz="0" w:space="0" w:color="auto"/>
        <w:bottom w:val="none" w:sz="0" w:space="0" w:color="auto"/>
        <w:right w:val="none" w:sz="0" w:space="0" w:color="auto"/>
      </w:divBdr>
    </w:div>
    <w:div w:id="881941821">
      <w:bodyDiv w:val="1"/>
      <w:marLeft w:val="0"/>
      <w:marRight w:val="0"/>
      <w:marTop w:val="0"/>
      <w:marBottom w:val="0"/>
      <w:divBdr>
        <w:top w:val="none" w:sz="0" w:space="0" w:color="auto"/>
        <w:left w:val="none" w:sz="0" w:space="0" w:color="auto"/>
        <w:bottom w:val="none" w:sz="0" w:space="0" w:color="auto"/>
        <w:right w:val="none" w:sz="0" w:space="0" w:color="auto"/>
      </w:divBdr>
    </w:div>
    <w:div w:id="909115871">
      <w:bodyDiv w:val="1"/>
      <w:marLeft w:val="0"/>
      <w:marRight w:val="0"/>
      <w:marTop w:val="0"/>
      <w:marBottom w:val="0"/>
      <w:divBdr>
        <w:top w:val="none" w:sz="0" w:space="0" w:color="auto"/>
        <w:left w:val="none" w:sz="0" w:space="0" w:color="auto"/>
        <w:bottom w:val="none" w:sz="0" w:space="0" w:color="auto"/>
        <w:right w:val="none" w:sz="0" w:space="0" w:color="auto"/>
      </w:divBdr>
    </w:div>
    <w:div w:id="961838576">
      <w:bodyDiv w:val="1"/>
      <w:marLeft w:val="0"/>
      <w:marRight w:val="0"/>
      <w:marTop w:val="0"/>
      <w:marBottom w:val="0"/>
      <w:divBdr>
        <w:top w:val="none" w:sz="0" w:space="0" w:color="auto"/>
        <w:left w:val="none" w:sz="0" w:space="0" w:color="auto"/>
        <w:bottom w:val="none" w:sz="0" w:space="0" w:color="auto"/>
        <w:right w:val="none" w:sz="0" w:space="0" w:color="auto"/>
      </w:divBdr>
    </w:div>
    <w:div w:id="987711910">
      <w:bodyDiv w:val="1"/>
      <w:marLeft w:val="0"/>
      <w:marRight w:val="0"/>
      <w:marTop w:val="0"/>
      <w:marBottom w:val="0"/>
      <w:divBdr>
        <w:top w:val="none" w:sz="0" w:space="0" w:color="auto"/>
        <w:left w:val="none" w:sz="0" w:space="0" w:color="auto"/>
        <w:bottom w:val="none" w:sz="0" w:space="0" w:color="auto"/>
        <w:right w:val="none" w:sz="0" w:space="0" w:color="auto"/>
      </w:divBdr>
    </w:div>
    <w:div w:id="993607029">
      <w:bodyDiv w:val="1"/>
      <w:marLeft w:val="0"/>
      <w:marRight w:val="0"/>
      <w:marTop w:val="0"/>
      <w:marBottom w:val="0"/>
      <w:divBdr>
        <w:top w:val="none" w:sz="0" w:space="0" w:color="auto"/>
        <w:left w:val="none" w:sz="0" w:space="0" w:color="auto"/>
        <w:bottom w:val="none" w:sz="0" w:space="0" w:color="auto"/>
        <w:right w:val="none" w:sz="0" w:space="0" w:color="auto"/>
      </w:divBdr>
    </w:div>
    <w:div w:id="1016350182">
      <w:bodyDiv w:val="1"/>
      <w:marLeft w:val="0"/>
      <w:marRight w:val="0"/>
      <w:marTop w:val="0"/>
      <w:marBottom w:val="0"/>
      <w:divBdr>
        <w:top w:val="none" w:sz="0" w:space="0" w:color="auto"/>
        <w:left w:val="none" w:sz="0" w:space="0" w:color="auto"/>
        <w:bottom w:val="none" w:sz="0" w:space="0" w:color="auto"/>
        <w:right w:val="none" w:sz="0" w:space="0" w:color="auto"/>
      </w:divBdr>
    </w:div>
    <w:div w:id="1083991528">
      <w:bodyDiv w:val="1"/>
      <w:marLeft w:val="0"/>
      <w:marRight w:val="0"/>
      <w:marTop w:val="0"/>
      <w:marBottom w:val="0"/>
      <w:divBdr>
        <w:top w:val="none" w:sz="0" w:space="0" w:color="auto"/>
        <w:left w:val="none" w:sz="0" w:space="0" w:color="auto"/>
        <w:bottom w:val="none" w:sz="0" w:space="0" w:color="auto"/>
        <w:right w:val="none" w:sz="0" w:space="0" w:color="auto"/>
      </w:divBdr>
    </w:div>
    <w:div w:id="1088964091">
      <w:bodyDiv w:val="1"/>
      <w:marLeft w:val="0"/>
      <w:marRight w:val="0"/>
      <w:marTop w:val="0"/>
      <w:marBottom w:val="0"/>
      <w:divBdr>
        <w:top w:val="none" w:sz="0" w:space="0" w:color="auto"/>
        <w:left w:val="none" w:sz="0" w:space="0" w:color="auto"/>
        <w:bottom w:val="none" w:sz="0" w:space="0" w:color="auto"/>
        <w:right w:val="none" w:sz="0" w:space="0" w:color="auto"/>
      </w:divBdr>
    </w:div>
    <w:div w:id="1095977842">
      <w:bodyDiv w:val="1"/>
      <w:marLeft w:val="0"/>
      <w:marRight w:val="0"/>
      <w:marTop w:val="0"/>
      <w:marBottom w:val="0"/>
      <w:divBdr>
        <w:top w:val="none" w:sz="0" w:space="0" w:color="auto"/>
        <w:left w:val="none" w:sz="0" w:space="0" w:color="auto"/>
        <w:bottom w:val="none" w:sz="0" w:space="0" w:color="auto"/>
        <w:right w:val="none" w:sz="0" w:space="0" w:color="auto"/>
      </w:divBdr>
    </w:div>
    <w:div w:id="1108088037">
      <w:bodyDiv w:val="1"/>
      <w:marLeft w:val="0"/>
      <w:marRight w:val="0"/>
      <w:marTop w:val="0"/>
      <w:marBottom w:val="0"/>
      <w:divBdr>
        <w:top w:val="none" w:sz="0" w:space="0" w:color="auto"/>
        <w:left w:val="none" w:sz="0" w:space="0" w:color="auto"/>
        <w:bottom w:val="none" w:sz="0" w:space="0" w:color="auto"/>
        <w:right w:val="none" w:sz="0" w:space="0" w:color="auto"/>
      </w:divBdr>
    </w:div>
    <w:div w:id="1118456019">
      <w:bodyDiv w:val="1"/>
      <w:marLeft w:val="0"/>
      <w:marRight w:val="0"/>
      <w:marTop w:val="0"/>
      <w:marBottom w:val="0"/>
      <w:divBdr>
        <w:top w:val="none" w:sz="0" w:space="0" w:color="auto"/>
        <w:left w:val="none" w:sz="0" w:space="0" w:color="auto"/>
        <w:bottom w:val="none" w:sz="0" w:space="0" w:color="auto"/>
        <w:right w:val="none" w:sz="0" w:space="0" w:color="auto"/>
      </w:divBdr>
    </w:div>
    <w:div w:id="1158811641">
      <w:bodyDiv w:val="1"/>
      <w:marLeft w:val="0"/>
      <w:marRight w:val="0"/>
      <w:marTop w:val="0"/>
      <w:marBottom w:val="0"/>
      <w:divBdr>
        <w:top w:val="none" w:sz="0" w:space="0" w:color="auto"/>
        <w:left w:val="none" w:sz="0" w:space="0" w:color="auto"/>
        <w:bottom w:val="none" w:sz="0" w:space="0" w:color="auto"/>
        <w:right w:val="none" w:sz="0" w:space="0" w:color="auto"/>
      </w:divBdr>
    </w:div>
    <w:div w:id="1165321103">
      <w:bodyDiv w:val="1"/>
      <w:marLeft w:val="0"/>
      <w:marRight w:val="0"/>
      <w:marTop w:val="0"/>
      <w:marBottom w:val="0"/>
      <w:divBdr>
        <w:top w:val="none" w:sz="0" w:space="0" w:color="auto"/>
        <w:left w:val="none" w:sz="0" w:space="0" w:color="auto"/>
        <w:bottom w:val="none" w:sz="0" w:space="0" w:color="auto"/>
        <w:right w:val="none" w:sz="0" w:space="0" w:color="auto"/>
      </w:divBdr>
    </w:div>
    <w:div w:id="1244336703">
      <w:bodyDiv w:val="1"/>
      <w:marLeft w:val="0"/>
      <w:marRight w:val="0"/>
      <w:marTop w:val="0"/>
      <w:marBottom w:val="0"/>
      <w:divBdr>
        <w:top w:val="none" w:sz="0" w:space="0" w:color="auto"/>
        <w:left w:val="none" w:sz="0" w:space="0" w:color="auto"/>
        <w:bottom w:val="none" w:sz="0" w:space="0" w:color="auto"/>
        <w:right w:val="none" w:sz="0" w:space="0" w:color="auto"/>
      </w:divBdr>
    </w:div>
    <w:div w:id="1265840626">
      <w:bodyDiv w:val="1"/>
      <w:marLeft w:val="0"/>
      <w:marRight w:val="0"/>
      <w:marTop w:val="0"/>
      <w:marBottom w:val="0"/>
      <w:divBdr>
        <w:top w:val="none" w:sz="0" w:space="0" w:color="auto"/>
        <w:left w:val="none" w:sz="0" w:space="0" w:color="auto"/>
        <w:bottom w:val="none" w:sz="0" w:space="0" w:color="auto"/>
        <w:right w:val="none" w:sz="0" w:space="0" w:color="auto"/>
      </w:divBdr>
    </w:div>
    <w:div w:id="1298683437">
      <w:bodyDiv w:val="1"/>
      <w:marLeft w:val="0"/>
      <w:marRight w:val="0"/>
      <w:marTop w:val="0"/>
      <w:marBottom w:val="0"/>
      <w:divBdr>
        <w:top w:val="none" w:sz="0" w:space="0" w:color="auto"/>
        <w:left w:val="none" w:sz="0" w:space="0" w:color="auto"/>
        <w:bottom w:val="none" w:sz="0" w:space="0" w:color="auto"/>
        <w:right w:val="none" w:sz="0" w:space="0" w:color="auto"/>
      </w:divBdr>
    </w:div>
    <w:div w:id="1308165441">
      <w:bodyDiv w:val="1"/>
      <w:marLeft w:val="0"/>
      <w:marRight w:val="0"/>
      <w:marTop w:val="0"/>
      <w:marBottom w:val="0"/>
      <w:divBdr>
        <w:top w:val="none" w:sz="0" w:space="0" w:color="auto"/>
        <w:left w:val="none" w:sz="0" w:space="0" w:color="auto"/>
        <w:bottom w:val="none" w:sz="0" w:space="0" w:color="auto"/>
        <w:right w:val="none" w:sz="0" w:space="0" w:color="auto"/>
      </w:divBdr>
    </w:div>
    <w:div w:id="1325546238">
      <w:bodyDiv w:val="1"/>
      <w:marLeft w:val="0"/>
      <w:marRight w:val="0"/>
      <w:marTop w:val="0"/>
      <w:marBottom w:val="0"/>
      <w:divBdr>
        <w:top w:val="none" w:sz="0" w:space="0" w:color="auto"/>
        <w:left w:val="none" w:sz="0" w:space="0" w:color="auto"/>
        <w:bottom w:val="none" w:sz="0" w:space="0" w:color="auto"/>
        <w:right w:val="none" w:sz="0" w:space="0" w:color="auto"/>
      </w:divBdr>
    </w:div>
    <w:div w:id="1349679644">
      <w:bodyDiv w:val="1"/>
      <w:marLeft w:val="0"/>
      <w:marRight w:val="0"/>
      <w:marTop w:val="0"/>
      <w:marBottom w:val="0"/>
      <w:divBdr>
        <w:top w:val="none" w:sz="0" w:space="0" w:color="auto"/>
        <w:left w:val="none" w:sz="0" w:space="0" w:color="auto"/>
        <w:bottom w:val="none" w:sz="0" w:space="0" w:color="auto"/>
        <w:right w:val="none" w:sz="0" w:space="0" w:color="auto"/>
      </w:divBdr>
    </w:div>
    <w:div w:id="1396902504">
      <w:bodyDiv w:val="1"/>
      <w:marLeft w:val="0"/>
      <w:marRight w:val="0"/>
      <w:marTop w:val="0"/>
      <w:marBottom w:val="0"/>
      <w:divBdr>
        <w:top w:val="none" w:sz="0" w:space="0" w:color="auto"/>
        <w:left w:val="none" w:sz="0" w:space="0" w:color="auto"/>
        <w:bottom w:val="none" w:sz="0" w:space="0" w:color="auto"/>
        <w:right w:val="none" w:sz="0" w:space="0" w:color="auto"/>
      </w:divBdr>
    </w:div>
    <w:div w:id="1397631587">
      <w:bodyDiv w:val="1"/>
      <w:marLeft w:val="0"/>
      <w:marRight w:val="0"/>
      <w:marTop w:val="0"/>
      <w:marBottom w:val="0"/>
      <w:divBdr>
        <w:top w:val="none" w:sz="0" w:space="0" w:color="auto"/>
        <w:left w:val="none" w:sz="0" w:space="0" w:color="auto"/>
        <w:bottom w:val="none" w:sz="0" w:space="0" w:color="auto"/>
        <w:right w:val="none" w:sz="0" w:space="0" w:color="auto"/>
      </w:divBdr>
    </w:div>
    <w:div w:id="1407528697">
      <w:bodyDiv w:val="1"/>
      <w:marLeft w:val="0"/>
      <w:marRight w:val="0"/>
      <w:marTop w:val="0"/>
      <w:marBottom w:val="0"/>
      <w:divBdr>
        <w:top w:val="none" w:sz="0" w:space="0" w:color="auto"/>
        <w:left w:val="none" w:sz="0" w:space="0" w:color="auto"/>
        <w:bottom w:val="none" w:sz="0" w:space="0" w:color="auto"/>
        <w:right w:val="none" w:sz="0" w:space="0" w:color="auto"/>
      </w:divBdr>
    </w:div>
    <w:div w:id="1432163819">
      <w:bodyDiv w:val="1"/>
      <w:marLeft w:val="0"/>
      <w:marRight w:val="0"/>
      <w:marTop w:val="0"/>
      <w:marBottom w:val="0"/>
      <w:divBdr>
        <w:top w:val="none" w:sz="0" w:space="0" w:color="auto"/>
        <w:left w:val="none" w:sz="0" w:space="0" w:color="auto"/>
        <w:bottom w:val="none" w:sz="0" w:space="0" w:color="auto"/>
        <w:right w:val="none" w:sz="0" w:space="0" w:color="auto"/>
      </w:divBdr>
    </w:div>
    <w:div w:id="1454518136">
      <w:bodyDiv w:val="1"/>
      <w:marLeft w:val="0"/>
      <w:marRight w:val="0"/>
      <w:marTop w:val="0"/>
      <w:marBottom w:val="0"/>
      <w:divBdr>
        <w:top w:val="none" w:sz="0" w:space="0" w:color="auto"/>
        <w:left w:val="none" w:sz="0" w:space="0" w:color="auto"/>
        <w:bottom w:val="none" w:sz="0" w:space="0" w:color="auto"/>
        <w:right w:val="none" w:sz="0" w:space="0" w:color="auto"/>
      </w:divBdr>
    </w:div>
    <w:div w:id="1454593134">
      <w:bodyDiv w:val="1"/>
      <w:marLeft w:val="0"/>
      <w:marRight w:val="0"/>
      <w:marTop w:val="0"/>
      <w:marBottom w:val="0"/>
      <w:divBdr>
        <w:top w:val="none" w:sz="0" w:space="0" w:color="auto"/>
        <w:left w:val="none" w:sz="0" w:space="0" w:color="auto"/>
        <w:bottom w:val="none" w:sz="0" w:space="0" w:color="auto"/>
        <w:right w:val="none" w:sz="0" w:space="0" w:color="auto"/>
      </w:divBdr>
    </w:div>
    <w:div w:id="1468354999">
      <w:bodyDiv w:val="1"/>
      <w:marLeft w:val="0"/>
      <w:marRight w:val="0"/>
      <w:marTop w:val="0"/>
      <w:marBottom w:val="0"/>
      <w:divBdr>
        <w:top w:val="none" w:sz="0" w:space="0" w:color="auto"/>
        <w:left w:val="none" w:sz="0" w:space="0" w:color="auto"/>
        <w:bottom w:val="none" w:sz="0" w:space="0" w:color="auto"/>
        <w:right w:val="none" w:sz="0" w:space="0" w:color="auto"/>
      </w:divBdr>
    </w:div>
    <w:div w:id="1591549870">
      <w:bodyDiv w:val="1"/>
      <w:marLeft w:val="0"/>
      <w:marRight w:val="0"/>
      <w:marTop w:val="0"/>
      <w:marBottom w:val="0"/>
      <w:divBdr>
        <w:top w:val="none" w:sz="0" w:space="0" w:color="auto"/>
        <w:left w:val="none" w:sz="0" w:space="0" w:color="auto"/>
        <w:bottom w:val="none" w:sz="0" w:space="0" w:color="auto"/>
        <w:right w:val="none" w:sz="0" w:space="0" w:color="auto"/>
      </w:divBdr>
    </w:div>
    <w:div w:id="1592271949">
      <w:bodyDiv w:val="1"/>
      <w:marLeft w:val="0"/>
      <w:marRight w:val="0"/>
      <w:marTop w:val="0"/>
      <w:marBottom w:val="0"/>
      <w:divBdr>
        <w:top w:val="none" w:sz="0" w:space="0" w:color="auto"/>
        <w:left w:val="none" w:sz="0" w:space="0" w:color="auto"/>
        <w:bottom w:val="none" w:sz="0" w:space="0" w:color="auto"/>
        <w:right w:val="none" w:sz="0" w:space="0" w:color="auto"/>
      </w:divBdr>
    </w:div>
    <w:div w:id="1603490891">
      <w:bodyDiv w:val="1"/>
      <w:marLeft w:val="0"/>
      <w:marRight w:val="0"/>
      <w:marTop w:val="0"/>
      <w:marBottom w:val="0"/>
      <w:divBdr>
        <w:top w:val="none" w:sz="0" w:space="0" w:color="auto"/>
        <w:left w:val="none" w:sz="0" w:space="0" w:color="auto"/>
        <w:bottom w:val="none" w:sz="0" w:space="0" w:color="auto"/>
        <w:right w:val="none" w:sz="0" w:space="0" w:color="auto"/>
      </w:divBdr>
    </w:div>
    <w:div w:id="1619024277">
      <w:bodyDiv w:val="1"/>
      <w:marLeft w:val="0"/>
      <w:marRight w:val="0"/>
      <w:marTop w:val="0"/>
      <w:marBottom w:val="0"/>
      <w:divBdr>
        <w:top w:val="none" w:sz="0" w:space="0" w:color="auto"/>
        <w:left w:val="none" w:sz="0" w:space="0" w:color="auto"/>
        <w:bottom w:val="none" w:sz="0" w:space="0" w:color="auto"/>
        <w:right w:val="none" w:sz="0" w:space="0" w:color="auto"/>
      </w:divBdr>
    </w:div>
    <w:div w:id="1666199331">
      <w:bodyDiv w:val="1"/>
      <w:marLeft w:val="0"/>
      <w:marRight w:val="0"/>
      <w:marTop w:val="0"/>
      <w:marBottom w:val="0"/>
      <w:divBdr>
        <w:top w:val="none" w:sz="0" w:space="0" w:color="auto"/>
        <w:left w:val="none" w:sz="0" w:space="0" w:color="auto"/>
        <w:bottom w:val="none" w:sz="0" w:space="0" w:color="auto"/>
        <w:right w:val="none" w:sz="0" w:space="0" w:color="auto"/>
      </w:divBdr>
    </w:div>
    <w:div w:id="1689867349">
      <w:bodyDiv w:val="1"/>
      <w:marLeft w:val="0"/>
      <w:marRight w:val="0"/>
      <w:marTop w:val="0"/>
      <w:marBottom w:val="0"/>
      <w:divBdr>
        <w:top w:val="none" w:sz="0" w:space="0" w:color="auto"/>
        <w:left w:val="none" w:sz="0" w:space="0" w:color="auto"/>
        <w:bottom w:val="none" w:sz="0" w:space="0" w:color="auto"/>
        <w:right w:val="none" w:sz="0" w:space="0" w:color="auto"/>
      </w:divBdr>
    </w:div>
    <w:div w:id="1709834810">
      <w:bodyDiv w:val="1"/>
      <w:marLeft w:val="0"/>
      <w:marRight w:val="0"/>
      <w:marTop w:val="0"/>
      <w:marBottom w:val="0"/>
      <w:divBdr>
        <w:top w:val="none" w:sz="0" w:space="0" w:color="auto"/>
        <w:left w:val="none" w:sz="0" w:space="0" w:color="auto"/>
        <w:bottom w:val="none" w:sz="0" w:space="0" w:color="auto"/>
        <w:right w:val="none" w:sz="0" w:space="0" w:color="auto"/>
      </w:divBdr>
    </w:div>
    <w:div w:id="1715156027">
      <w:bodyDiv w:val="1"/>
      <w:marLeft w:val="0"/>
      <w:marRight w:val="0"/>
      <w:marTop w:val="0"/>
      <w:marBottom w:val="0"/>
      <w:divBdr>
        <w:top w:val="none" w:sz="0" w:space="0" w:color="auto"/>
        <w:left w:val="none" w:sz="0" w:space="0" w:color="auto"/>
        <w:bottom w:val="none" w:sz="0" w:space="0" w:color="auto"/>
        <w:right w:val="none" w:sz="0" w:space="0" w:color="auto"/>
      </w:divBdr>
    </w:div>
    <w:div w:id="1727752070">
      <w:bodyDiv w:val="1"/>
      <w:marLeft w:val="0"/>
      <w:marRight w:val="0"/>
      <w:marTop w:val="0"/>
      <w:marBottom w:val="0"/>
      <w:divBdr>
        <w:top w:val="none" w:sz="0" w:space="0" w:color="auto"/>
        <w:left w:val="none" w:sz="0" w:space="0" w:color="auto"/>
        <w:bottom w:val="none" w:sz="0" w:space="0" w:color="auto"/>
        <w:right w:val="none" w:sz="0" w:space="0" w:color="auto"/>
      </w:divBdr>
    </w:div>
    <w:div w:id="1754087115">
      <w:bodyDiv w:val="1"/>
      <w:marLeft w:val="0"/>
      <w:marRight w:val="0"/>
      <w:marTop w:val="0"/>
      <w:marBottom w:val="0"/>
      <w:divBdr>
        <w:top w:val="none" w:sz="0" w:space="0" w:color="auto"/>
        <w:left w:val="none" w:sz="0" w:space="0" w:color="auto"/>
        <w:bottom w:val="none" w:sz="0" w:space="0" w:color="auto"/>
        <w:right w:val="none" w:sz="0" w:space="0" w:color="auto"/>
      </w:divBdr>
    </w:div>
    <w:div w:id="1763912490">
      <w:bodyDiv w:val="1"/>
      <w:marLeft w:val="0"/>
      <w:marRight w:val="0"/>
      <w:marTop w:val="0"/>
      <w:marBottom w:val="0"/>
      <w:divBdr>
        <w:top w:val="none" w:sz="0" w:space="0" w:color="auto"/>
        <w:left w:val="none" w:sz="0" w:space="0" w:color="auto"/>
        <w:bottom w:val="none" w:sz="0" w:space="0" w:color="auto"/>
        <w:right w:val="none" w:sz="0" w:space="0" w:color="auto"/>
      </w:divBdr>
    </w:div>
    <w:div w:id="1786852117">
      <w:bodyDiv w:val="1"/>
      <w:marLeft w:val="0"/>
      <w:marRight w:val="0"/>
      <w:marTop w:val="0"/>
      <w:marBottom w:val="0"/>
      <w:divBdr>
        <w:top w:val="none" w:sz="0" w:space="0" w:color="auto"/>
        <w:left w:val="none" w:sz="0" w:space="0" w:color="auto"/>
        <w:bottom w:val="none" w:sz="0" w:space="0" w:color="auto"/>
        <w:right w:val="none" w:sz="0" w:space="0" w:color="auto"/>
      </w:divBdr>
    </w:div>
    <w:div w:id="1829207243">
      <w:bodyDiv w:val="1"/>
      <w:marLeft w:val="0"/>
      <w:marRight w:val="0"/>
      <w:marTop w:val="0"/>
      <w:marBottom w:val="0"/>
      <w:divBdr>
        <w:top w:val="none" w:sz="0" w:space="0" w:color="auto"/>
        <w:left w:val="none" w:sz="0" w:space="0" w:color="auto"/>
        <w:bottom w:val="none" w:sz="0" w:space="0" w:color="auto"/>
        <w:right w:val="none" w:sz="0" w:space="0" w:color="auto"/>
      </w:divBdr>
    </w:div>
    <w:div w:id="1899896120">
      <w:bodyDiv w:val="1"/>
      <w:marLeft w:val="0"/>
      <w:marRight w:val="0"/>
      <w:marTop w:val="0"/>
      <w:marBottom w:val="0"/>
      <w:divBdr>
        <w:top w:val="none" w:sz="0" w:space="0" w:color="auto"/>
        <w:left w:val="none" w:sz="0" w:space="0" w:color="auto"/>
        <w:bottom w:val="none" w:sz="0" w:space="0" w:color="auto"/>
        <w:right w:val="none" w:sz="0" w:space="0" w:color="auto"/>
      </w:divBdr>
    </w:div>
    <w:div w:id="1903907729">
      <w:bodyDiv w:val="1"/>
      <w:marLeft w:val="0"/>
      <w:marRight w:val="0"/>
      <w:marTop w:val="0"/>
      <w:marBottom w:val="0"/>
      <w:divBdr>
        <w:top w:val="none" w:sz="0" w:space="0" w:color="auto"/>
        <w:left w:val="none" w:sz="0" w:space="0" w:color="auto"/>
        <w:bottom w:val="none" w:sz="0" w:space="0" w:color="auto"/>
        <w:right w:val="none" w:sz="0" w:space="0" w:color="auto"/>
      </w:divBdr>
    </w:div>
    <w:div w:id="1918400931">
      <w:bodyDiv w:val="1"/>
      <w:marLeft w:val="0"/>
      <w:marRight w:val="0"/>
      <w:marTop w:val="0"/>
      <w:marBottom w:val="0"/>
      <w:divBdr>
        <w:top w:val="none" w:sz="0" w:space="0" w:color="auto"/>
        <w:left w:val="none" w:sz="0" w:space="0" w:color="auto"/>
        <w:bottom w:val="none" w:sz="0" w:space="0" w:color="auto"/>
        <w:right w:val="none" w:sz="0" w:space="0" w:color="auto"/>
      </w:divBdr>
    </w:div>
    <w:div w:id="1919437102">
      <w:bodyDiv w:val="1"/>
      <w:marLeft w:val="0"/>
      <w:marRight w:val="0"/>
      <w:marTop w:val="0"/>
      <w:marBottom w:val="0"/>
      <w:divBdr>
        <w:top w:val="none" w:sz="0" w:space="0" w:color="auto"/>
        <w:left w:val="none" w:sz="0" w:space="0" w:color="auto"/>
        <w:bottom w:val="none" w:sz="0" w:space="0" w:color="auto"/>
        <w:right w:val="none" w:sz="0" w:space="0" w:color="auto"/>
      </w:divBdr>
    </w:div>
    <w:div w:id="1995065181">
      <w:bodyDiv w:val="1"/>
      <w:marLeft w:val="0"/>
      <w:marRight w:val="0"/>
      <w:marTop w:val="0"/>
      <w:marBottom w:val="0"/>
      <w:divBdr>
        <w:top w:val="none" w:sz="0" w:space="0" w:color="auto"/>
        <w:left w:val="none" w:sz="0" w:space="0" w:color="auto"/>
        <w:bottom w:val="none" w:sz="0" w:space="0" w:color="auto"/>
        <w:right w:val="none" w:sz="0" w:space="0" w:color="auto"/>
      </w:divBdr>
    </w:div>
    <w:div w:id="2013868923">
      <w:bodyDiv w:val="1"/>
      <w:marLeft w:val="0"/>
      <w:marRight w:val="0"/>
      <w:marTop w:val="0"/>
      <w:marBottom w:val="0"/>
      <w:divBdr>
        <w:top w:val="none" w:sz="0" w:space="0" w:color="auto"/>
        <w:left w:val="none" w:sz="0" w:space="0" w:color="auto"/>
        <w:bottom w:val="none" w:sz="0" w:space="0" w:color="auto"/>
        <w:right w:val="none" w:sz="0" w:space="0" w:color="auto"/>
      </w:divBdr>
    </w:div>
    <w:div w:id="2038851538">
      <w:bodyDiv w:val="1"/>
      <w:marLeft w:val="0"/>
      <w:marRight w:val="0"/>
      <w:marTop w:val="0"/>
      <w:marBottom w:val="0"/>
      <w:divBdr>
        <w:top w:val="none" w:sz="0" w:space="0" w:color="auto"/>
        <w:left w:val="none" w:sz="0" w:space="0" w:color="auto"/>
        <w:bottom w:val="none" w:sz="0" w:space="0" w:color="auto"/>
        <w:right w:val="none" w:sz="0" w:space="0" w:color="auto"/>
      </w:divBdr>
    </w:div>
    <w:div w:id="2041010835">
      <w:bodyDiv w:val="1"/>
      <w:marLeft w:val="0"/>
      <w:marRight w:val="0"/>
      <w:marTop w:val="0"/>
      <w:marBottom w:val="0"/>
      <w:divBdr>
        <w:top w:val="none" w:sz="0" w:space="0" w:color="auto"/>
        <w:left w:val="none" w:sz="0" w:space="0" w:color="auto"/>
        <w:bottom w:val="none" w:sz="0" w:space="0" w:color="auto"/>
        <w:right w:val="none" w:sz="0" w:space="0" w:color="auto"/>
      </w:divBdr>
    </w:div>
    <w:div w:id="2067675825">
      <w:bodyDiv w:val="1"/>
      <w:marLeft w:val="0"/>
      <w:marRight w:val="0"/>
      <w:marTop w:val="0"/>
      <w:marBottom w:val="0"/>
      <w:divBdr>
        <w:top w:val="none" w:sz="0" w:space="0" w:color="auto"/>
        <w:left w:val="none" w:sz="0" w:space="0" w:color="auto"/>
        <w:bottom w:val="none" w:sz="0" w:space="0" w:color="auto"/>
        <w:right w:val="none" w:sz="0" w:space="0" w:color="auto"/>
      </w:divBdr>
    </w:div>
    <w:div w:id="2092846213">
      <w:bodyDiv w:val="1"/>
      <w:marLeft w:val="0"/>
      <w:marRight w:val="0"/>
      <w:marTop w:val="0"/>
      <w:marBottom w:val="0"/>
      <w:divBdr>
        <w:top w:val="none" w:sz="0" w:space="0" w:color="auto"/>
        <w:left w:val="none" w:sz="0" w:space="0" w:color="auto"/>
        <w:bottom w:val="none" w:sz="0" w:space="0" w:color="auto"/>
        <w:right w:val="none" w:sz="0" w:space="0" w:color="auto"/>
      </w:divBdr>
    </w:div>
    <w:div w:id="2105032372">
      <w:bodyDiv w:val="1"/>
      <w:marLeft w:val="0"/>
      <w:marRight w:val="0"/>
      <w:marTop w:val="0"/>
      <w:marBottom w:val="0"/>
      <w:divBdr>
        <w:top w:val="none" w:sz="0" w:space="0" w:color="auto"/>
        <w:left w:val="none" w:sz="0" w:space="0" w:color="auto"/>
        <w:bottom w:val="none" w:sz="0" w:space="0" w:color="auto"/>
        <w:right w:val="none" w:sz="0" w:space="0" w:color="auto"/>
      </w:divBdr>
    </w:div>
    <w:div w:id="213077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alain.deschamps@2f-ouest.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8D23CD671C72408242CDC0DA2D6653" ma:contentTypeVersion="16" ma:contentTypeDescription="Crée un document." ma:contentTypeScope="" ma:versionID="fc116d9e560b4227310e6eee13de91d5">
  <xsd:schema xmlns:xsd="http://www.w3.org/2001/XMLSchema" xmlns:xs="http://www.w3.org/2001/XMLSchema" xmlns:p="http://schemas.microsoft.com/office/2006/metadata/properties" xmlns:ns2="c7000dd3-e258-4b02-b3a9-3b960272e70f" xmlns:ns3="7298413e-c04e-4f19-a473-2241ea9d7eb4" targetNamespace="http://schemas.microsoft.com/office/2006/metadata/properties" ma:root="true" ma:fieldsID="97765b64e2f549602b60dc73f92b0f6f" ns2:_="" ns3:_="">
    <xsd:import namespace="c7000dd3-e258-4b02-b3a9-3b960272e70f"/>
    <xsd:import namespace="7298413e-c04e-4f19-a473-2241ea9d7e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00dd3-e258-4b02-b3a9-3b960272e7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7befcbd-de73-4a17-a673-116cb71587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298413e-c04e-4f19-a473-2241ea9d7eb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717495b-7af3-46f7-88a8-c5756cc9810c}" ma:internalName="TaxCatchAll" ma:showField="CatchAllData" ma:web="7298413e-c04e-4f19-a473-2241ea9d7e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BFD934-B626-496B-9D65-351F7C4CAEE6}"/>
</file>

<file path=customXml/itemProps2.xml><?xml version="1.0" encoding="utf-8"?>
<ds:datastoreItem xmlns:ds="http://schemas.openxmlformats.org/officeDocument/2006/customXml" ds:itemID="{755618AC-D97B-473C-BA67-B9BC1FECAC7E}"/>
</file>

<file path=docProps/app.xml><?xml version="1.0" encoding="utf-8"?>
<Properties xmlns="http://schemas.openxmlformats.org/officeDocument/2006/extended-properties" xmlns:vt="http://schemas.openxmlformats.org/officeDocument/2006/docPropsVTypes">
  <Template>Normal</Template>
  <TotalTime>34</TotalTime>
  <Pages>9</Pages>
  <Words>2272</Words>
  <Characters>12497</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denis.lefevre</dc:creator>
  <cp:lastModifiedBy>Blandine SAUVE</cp:lastModifiedBy>
  <cp:revision>3</cp:revision>
  <cp:lastPrinted>2016-06-29T15:41:00Z</cp:lastPrinted>
  <dcterms:created xsi:type="dcterms:W3CDTF">2018-02-27T13:08:00Z</dcterms:created>
  <dcterms:modified xsi:type="dcterms:W3CDTF">2018-02-27T13:42:00Z</dcterms:modified>
</cp:coreProperties>
</file>